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DF" w:rsidRDefault="006126DF" w:rsidP="006126DF">
      <w:pPr>
        <w:pStyle w:val="Heading1"/>
      </w:pPr>
      <w:r w:rsidRPr="00D61038">
        <w:t>Commercial Item Test Program Extended</w:t>
      </w:r>
    </w:p>
    <w:p w:rsidR="006126DF" w:rsidRPr="00D61038" w:rsidRDefault="006126DF" w:rsidP="006126DF"/>
    <w:p w:rsidR="006126DF" w:rsidRPr="00D61038" w:rsidRDefault="006126DF" w:rsidP="006126DF">
      <w:pPr>
        <w:rPr>
          <w:rFonts w:ascii="Arial" w:hAnsi="Arial" w:cs="Arial"/>
          <w:sz w:val="24"/>
          <w:szCs w:val="24"/>
        </w:rPr>
      </w:pPr>
      <w:r w:rsidRPr="00D61038">
        <w:rPr>
          <w:rFonts w:ascii="Arial" w:hAnsi="Arial" w:cs="Arial"/>
          <w:sz w:val="24"/>
          <w:szCs w:val="24"/>
        </w:rPr>
        <w:t>Previously, the “Test Program for Certain Commercial Items” under FAR Subpart 13.5 expired on January 1, 2012. Section 822 of the National Defense Authorization Act (NDAA) for Fiscal Year 2013, Public Law 112-239 extends this test program until January 1, 2015. A Department-wide class deviation from FAR 13.500(d) has been granted to extend the test program’s expiration date to January 1, 2015. This class deviation remains in effect until implemented in the FAR.</w:t>
      </w:r>
    </w:p>
    <w:p w:rsidR="006126DF" w:rsidRPr="00D61038" w:rsidRDefault="006126DF" w:rsidP="006126DF">
      <w:pPr>
        <w:rPr>
          <w:rFonts w:ascii="Arial" w:hAnsi="Arial" w:cs="Arial"/>
          <w:sz w:val="24"/>
          <w:szCs w:val="24"/>
        </w:rPr>
      </w:pPr>
      <w:r w:rsidRPr="00D61038">
        <w:rPr>
          <w:rFonts w:ascii="Arial" w:hAnsi="Arial" w:cs="Arial"/>
          <w:sz w:val="24"/>
          <w:szCs w:val="24"/>
        </w:rPr>
        <w:t>FAR 1.404, “Class Deviation,” requires that HHS and other civilian agencies to consult with the Chairman of the Civilian Agency Acquisition Council (CAAC) regarding class deviations. The CAAC Chairman has issued a memorandum that satisfies the consultation requirement, and states that an expedited FAR case is being processed to change the date of expiration for the test program in FAR 13.500(d) to January 1, 2015.</w:t>
      </w:r>
    </w:p>
    <w:p w:rsidR="006126DF" w:rsidRPr="00D61038" w:rsidRDefault="006126DF" w:rsidP="006126DF">
      <w:pPr>
        <w:rPr>
          <w:rFonts w:ascii="Arial" w:hAnsi="Arial" w:cs="Arial"/>
          <w:sz w:val="24"/>
          <w:szCs w:val="24"/>
        </w:rPr>
      </w:pPr>
      <w:r w:rsidRPr="00D61038">
        <w:rPr>
          <w:rFonts w:ascii="Arial" w:hAnsi="Arial" w:cs="Arial"/>
          <w:sz w:val="24"/>
          <w:szCs w:val="24"/>
        </w:rPr>
        <w:t>As a result of this class deviation, HHS contracting officers may issue solicitations and award contracts using the test program procedures under FAR Subpart 13.500(d), pending issuance of the FAR rule that will change the test program’s expiration date from January 1, 2012 to January 1, 2015.</w:t>
      </w:r>
    </w:p>
    <w:p w:rsidR="006126DF" w:rsidRDefault="006126DF" w:rsidP="006126DF">
      <w:pPr>
        <w:rPr>
          <w:rFonts w:ascii="Arial" w:hAnsi="Arial" w:cs="Arial"/>
          <w:sz w:val="24"/>
          <w:szCs w:val="24"/>
        </w:rPr>
      </w:pPr>
      <w:r w:rsidRPr="00D61038">
        <w:rPr>
          <w:rFonts w:ascii="Arial" w:hAnsi="Arial" w:cs="Arial"/>
          <w:sz w:val="24"/>
          <w:szCs w:val="24"/>
        </w:rPr>
        <w:t xml:space="preserve">If you have any questions on this class deviation, please contact Cheryl Howe at </w:t>
      </w:r>
      <w:hyperlink r:id="rId12" w:history="1">
        <w:r w:rsidRPr="00D61038">
          <w:rPr>
            <w:rStyle w:val="Hyperlink"/>
            <w:rFonts w:ascii="Arial" w:hAnsi="Arial" w:cs="Arial"/>
            <w:sz w:val="24"/>
            <w:szCs w:val="24"/>
          </w:rPr>
          <w:t>cheryl.howe@hhs.gov</w:t>
        </w:r>
      </w:hyperlink>
      <w:r w:rsidRPr="00D61038">
        <w:rPr>
          <w:rFonts w:ascii="Arial" w:hAnsi="Arial" w:cs="Arial"/>
          <w:sz w:val="24"/>
          <w:szCs w:val="24"/>
        </w:rPr>
        <w:t>.</w:t>
      </w:r>
    </w:p>
    <w:p w:rsidR="006126DF" w:rsidRDefault="006126DF" w:rsidP="00D61038">
      <w:pPr>
        <w:pStyle w:val="Heading1"/>
      </w:pPr>
    </w:p>
    <w:p w:rsidR="006126DF" w:rsidRPr="006126DF" w:rsidRDefault="006126DF" w:rsidP="006126DF"/>
    <w:p w:rsidR="00D61038" w:rsidRDefault="00C0509A" w:rsidP="00D61038">
      <w:pPr>
        <w:pStyle w:val="Heading1"/>
      </w:pPr>
      <w:hyperlink r:id="rId13" w:history="1">
        <w:r w:rsidR="00D61038" w:rsidRPr="00D61038">
          <w:t>ECS III Extended for One Year</w:t>
        </w:r>
      </w:hyperlink>
    </w:p>
    <w:p w:rsidR="00D61038" w:rsidRPr="00D61038" w:rsidRDefault="00D61038" w:rsidP="00D61038"/>
    <w:p w:rsidR="00D61038" w:rsidRPr="00D61038" w:rsidRDefault="00D61038" w:rsidP="00D61038">
      <w:pPr>
        <w:rPr>
          <w:rFonts w:ascii="Arial" w:hAnsi="Arial" w:cs="Arial"/>
          <w:sz w:val="24"/>
          <w:szCs w:val="24"/>
        </w:rPr>
      </w:pPr>
      <w:r w:rsidRPr="00D61038">
        <w:rPr>
          <w:rFonts w:ascii="Arial" w:hAnsi="Arial" w:cs="Arial"/>
          <w:sz w:val="24"/>
          <w:szCs w:val="24"/>
        </w:rPr>
        <w:t>NITAAC is pleased to announce the extension of the ECS III GWAC for one year through November 25, 2013. That means NIH Contracting Officers and Purchase Card Holders can continue to order IT products and related fixed-price services as we work to develop a new follow-on products/services GWAC. New delivery orders issued under ECS III will offer you the same options as before, up to and including a 5-year period of performance.</w:t>
      </w:r>
    </w:p>
    <w:p w:rsidR="00D61038" w:rsidRPr="00D61038" w:rsidRDefault="00D61038" w:rsidP="00D61038">
      <w:pPr>
        <w:rPr>
          <w:rFonts w:ascii="Arial" w:hAnsi="Arial" w:cs="Arial"/>
          <w:sz w:val="24"/>
          <w:szCs w:val="24"/>
        </w:rPr>
      </w:pPr>
      <w:r w:rsidRPr="00D61038">
        <w:rPr>
          <w:rFonts w:ascii="Arial" w:hAnsi="Arial" w:cs="Arial"/>
          <w:sz w:val="24"/>
          <w:szCs w:val="24"/>
        </w:rPr>
        <w:lastRenderedPageBreak/>
        <w:t>The ECS III GWAC is the HHS Strategic Source for IT products and related services, and can be used to make purchases for the lab and/or office, including but not limited to:</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Apple Products</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Cloud Computing: SaaS, IaaS, PaaS</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Data Warehousing/Data Storage</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Enterprise Software Licenses</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Warranty and Maintenance</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Servers Built to Order (BTO)</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Desktops, Laptops, Smartphones, Tablets, Networking and Peripherals</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Lease Printers with Maintenance and Tech Support</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Citrix Support</w:t>
      </w:r>
    </w:p>
    <w:p w:rsidR="00D61038" w:rsidRP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VMware Maintenance Renewal</w:t>
      </w:r>
    </w:p>
    <w:p w:rsidR="00D61038" w:rsidRDefault="00D61038" w:rsidP="00D61038">
      <w:pPr>
        <w:numPr>
          <w:ilvl w:val="0"/>
          <w:numId w:val="12"/>
        </w:numPr>
        <w:spacing w:after="0" w:line="240" w:lineRule="auto"/>
        <w:contextualSpacing/>
        <w:rPr>
          <w:rFonts w:ascii="Arial" w:hAnsi="Arial" w:cs="Arial"/>
          <w:sz w:val="24"/>
          <w:szCs w:val="24"/>
        </w:rPr>
      </w:pPr>
      <w:r w:rsidRPr="00D61038">
        <w:rPr>
          <w:rFonts w:ascii="Arial" w:hAnsi="Arial" w:cs="Arial"/>
          <w:sz w:val="24"/>
          <w:szCs w:val="24"/>
        </w:rPr>
        <w:t>Software Maintenance Updates such as Oracle’s “My Oracle Support” or Microsoft’s “Windows Update</w:t>
      </w:r>
    </w:p>
    <w:p w:rsidR="00D61038" w:rsidRPr="00D61038" w:rsidRDefault="00D61038" w:rsidP="00D61038">
      <w:pPr>
        <w:spacing w:after="0" w:line="240" w:lineRule="auto"/>
        <w:ind w:left="720"/>
        <w:contextualSpacing/>
        <w:rPr>
          <w:rFonts w:ascii="Arial" w:hAnsi="Arial" w:cs="Arial"/>
          <w:sz w:val="24"/>
          <w:szCs w:val="24"/>
        </w:rPr>
      </w:pPr>
    </w:p>
    <w:p w:rsidR="00D61038" w:rsidRPr="00D61038" w:rsidRDefault="00D61038" w:rsidP="00D61038">
      <w:pPr>
        <w:rPr>
          <w:rFonts w:ascii="Arial" w:hAnsi="Arial" w:cs="Arial"/>
          <w:sz w:val="24"/>
          <w:szCs w:val="24"/>
        </w:rPr>
      </w:pPr>
      <w:r w:rsidRPr="00D61038">
        <w:rPr>
          <w:rFonts w:ascii="Arial" w:hAnsi="Arial" w:cs="Arial"/>
          <w:sz w:val="24"/>
          <w:szCs w:val="24"/>
        </w:rPr>
        <w:t xml:space="preserve">When using the pre-competed and pre-negotiated ECS III GWAC, competition is governed by FAR 16.505(b)(1)(i), fair opportunity, which states that the buyer “must provide each awardee a fair opportunity to be considered for each order exceeding $3,000.” This is an easier, more efficient process than that of FAR 8.405-1(c)(1), which states that the buyer must survey “at least three schedule contractors" (3 quotes). </w:t>
      </w:r>
    </w:p>
    <w:p w:rsidR="00D61038" w:rsidRPr="00D61038" w:rsidRDefault="00D61038" w:rsidP="00D61038">
      <w:pPr>
        <w:rPr>
          <w:rFonts w:ascii="Arial" w:hAnsi="Arial" w:cs="Arial"/>
          <w:sz w:val="24"/>
          <w:szCs w:val="24"/>
        </w:rPr>
      </w:pPr>
      <w:r w:rsidRPr="00D61038">
        <w:rPr>
          <w:rFonts w:ascii="Arial" w:hAnsi="Arial" w:cs="Arial"/>
          <w:sz w:val="24"/>
          <w:szCs w:val="24"/>
        </w:rPr>
        <w:t>By using the secure, online ECS III automated Request For Quote (RFQ) System, your requirement goes out to all of the eligible vendors on the contract. What this means is that even if only one quote is received, you will have done your due diligence in terms of competition and can proceed with your purchase.  However, typically you will receive an average of 3-5 quotes per RFQ.</w:t>
      </w:r>
    </w:p>
    <w:p w:rsidR="00D61038" w:rsidRPr="00D61038" w:rsidRDefault="00D61038" w:rsidP="00D61038">
      <w:pPr>
        <w:rPr>
          <w:rFonts w:ascii="Arial" w:hAnsi="Arial" w:cs="Arial"/>
          <w:sz w:val="24"/>
          <w:szCs w:val="24"/>
        </w:rPr>
      </w:pPr>
      <w:r w:rsidRPr="00D61038">
        <w:rPr>
          <w:rFonts w:ascii="Arial" w:hAnsi="Arial" w:cs="Arial"/>
          <w:sz w:val="24"/>
          <w:szCs w:val="24"/>
        </w:rPr>
        <w:t>Purchasing agents and program offices can easily work together through the RFQ system simply by listing their colleagues as the alternate Point-of-Contact when requirements are submitted. This gives both parties access to all activity in the system, from competition through selection of awardees. To complete the process, purchases can be made either with an NIH Purchase Card or with award documents prepared through NBS/Prism.</w:t>
      </w:r>
    </w:p>
    <w:p w:rsidR="00D61038" w:rsidRPr="00D61038" w:rsidRDefault="00D61038" w:rsidP="00D61038">
      <w:pPr>
        <w:rPr>
          <w:rFonts w:ascii="Arial" w:hAnsi="Arial" w:cs="Arial"/>
          <w:sz w:val="24"/>
          <w:szCs w:val="24"/>
        </w:rPr>
      </w:pPr>
      <w:r w:rsidRPr="00D61038">
        <w:rPr>
          <w:rFonts w:ascii="Arial" w:hAnsi="Arial" w:cs="Arial"/>
          <w:sz w:val="24"/>
          <w:szCs w:val="24"/>
        </w:rPr>
        <w:t xml:space="preserve">If you find a lower price elsewhere, you are encouraged to negotiate directly with ECS III Contract Holders for the lowest possible price. This GWAC is designed to offer prices less than or equal to Federal Supply Schedules, and you are encouraged to ask Contract Holders to match or beat market prices. </w:t>
      </w:r>
    </w:p>
    <w:p w:rsidR="00D61038" w:rsidRPr="00D61038" w:rsidRDefault="00D61038" w:rsidP="00D61038">
      <w:pPr>
        <w:rPr>
          <w:rFonts w:ascii="Arial" w:hAnsi="Arial" w:cs="Arial"/>
          <w:sz w:val="24"/>
          <w:szCs w:val="24"/>
        </w:rPr>
      </w:pPr>
      <w:r w:rsidRPr="00D61038">
        <w:rPr>
          <w:rFonts w:ascii="Arial" w:hAnsi="Arial" w:cs="Arial"/>
          <w:sz w:val="24"/>
          <w:szCs w:val="24"/>
        </w:rPr>
        <w:lastRenderedPageBreak/>
        <w:t>The average ECS III award takes 3-5 days. The fee is .5% with a $10,000 cap per delivery order, modification or exercise of option.</w:t>
      </w:r>
    </w:p>
    <w:p w:rsidR="00D61038" w:rsidRPr="00D61038" w:rsidRDefault="00D61038" w:rsidP="00D61038">
      <w:pPr>
        <w:rPr>
          <w:rFonts w:ascii="Arial" w:hAnsi="Arial" w:cs="Arial"/>
          <w:sz w:val="24"/>
          <w:szCs w:val="24"/>
        </w:rPr>
      </w:pPr>
      <w:r w:rsidRPr="00D61038">
        <w:rPr>
          <w:rFonts w:ascii="Arial" w:hAnsi="Arial" w:cs="Arial"/>
          <w:sz w:val="24"/>
          <w:szCs w:val="24"/>
        </w:rPr>
        <w:t xml:space="preserve">We appreciate your doing business with NITAAC, and look forward to continuing to serve you in the future. As always, if you have any questions, please feel free to contact </w:t>
      </w:r>
      <w:hyperlink r:id="rId14" w:history="1">
        <w:r w:rsidRPr="00D61038">
          <w:rPr>
            <w:rFonts w:ascii="Arial" w:hAnsi="Arial" w:cs="Arial"/>
            <w:sz w:val="24"/>
            <w:szCs w:val="24"/>
          </w:rPr>
          <w:t>NITAACsupport@nih.gov.</w:t>
        </w:r>
      </w:hyperlink>
    </w:p>
    <w:p w:rsidR="00D61038" w:rsidRPr="00D61038" w:rsidRDefault="00D61038" w:rsidP="00D61038">
      <w:pPr>
        <w:pStyle w:val="Heading1"/>
      </w:pPr>
      <w:r>
        <w:t>E</w:t>
      </w:r>
      <w:r w:rsidRPr="00D61038">
        <w:t>PA Environmentally Preferable Purchasing (EPP) Survey Launched</w:t>
      </w:r>
    </w:p>
    <w:p w:rsidR="00D61038" w:rsidRPr="00D61038" w:rsidRDefault="00D61038" w:rsidP="00D61038">
      <w:pPr>
        <w:pStyle w:val="NormalWeb"/>
        <w:rPr>
          <w:rFonts w:ascii="Arial" w:hAnsi="Arial" w:cs="Arial"/>
        </w:rPr>
      </w:pPr>
      <w:r w:rsidRPr="00D61038">
        <w:rPr>
          <w:rFonts w:ascii="Arial" w:hAnsi="Arial" w:cs="Arial"/>
        </w:rPr>
        <w:t xml:space="preserve">The U.S. Environmental Protection Agency's (EPA) Environmentally Preferable Purchasing (EPP) Program survey is open until February 6, 2013.  </w:t>
      </w:r>
    </w:p>
    <w:p w:rsidR="00D61038" w:rsidRPr="00D61038" w:rsidRDefault="00D61038" w:rsidP="00D61038">
      <w:pPr>
        <w:pStyle w:val="NormalWeb"/>
        <w:rPr>
          <w:rFonts w:ascii="Arial" w:hAnsi="Arial" w:cs="Arial"/>
        </w:rPr>
      </w:pPr>
      <w:r w:rsidRPr="00D61038">
        <w:rPr>
          <w:rFonts w:ascii="Arial" w:hAnsi="Arial" w:cs="Arial"/>
        </w:rPr>
        <w:t xml:space="preserve">The EPP survey is aimed at the Federal acquisition workforce to better understand the role that environmental considerations and other factors play in Federal purchasing decisions - specifically the purchase of environmentally preferable or "green" products. The survey is being administered on the FAI.gov website. </w:t>
      </w:r>
    </w:p>
    <w:p w:rsidR="00D61038" w:rsidRPr="00D61038" w:rsidRDefault="00D61038" w:rsidP="00D61038">
      <w:pPr>
        <w:pStyle w:val="NormalWeb"/>
        <w:rPr>
          <w:rFonts w:ascii="Arial" w:hAnsi="Arial" w:cs="Arial"/>
        </w:rPr>
      </w:pPr>
      <w:r w:rsidRPr="00D61038">
        <w:rPr>
          <w:rFonts w:ascii="Arial" w:hAnsi="Arial" w:cs="Arial"/>
        </w:rPr>
        <w:t xml:space="preserve">The EPP Program is designed to reduce the environmental impacts of federal purchasing and make the overall consumer marketplace more sustainable through federal leadership. Executive Order 13423 defines environmentally preferable as "products or services that have a lesser or reduced effect on human health and the environment when compared with competing products or services that serve the same purpose." In everyday language, we use the term "green" interchangeably with environmentally preferable. </w:t>
      </w:r>
    </w:p>
    <w:p w:rsidR="00D61038" w:rsidRPr="00D61038" w:rsidRDefault="00D61038" w:rsidP="00D61038">
      <w:pPr>
        <w:pStyle w:val="NormalWeb"/>
        <w:rPr>
          <w:rFonts w:ascii="Arial" w:hAnsi="Arial" w:cs="Arial"/>
        </w:rPr>
      </w:pPr>
      <w:r w:rsidRPr="00D61038">
        <w:rPr>
          <w:rFonts w:ascii="Arial" w:hAnsi="Arial" w:cs="Arial"/>
        </w:rPr>
        <w:t xml:space="preserve">The survey results will help EPA to better understand the perspectives and experiences of Federal purchasers in terms of attitudes and changes in federal spending on environmentally preferable, or "greener", products, and the influence and utility of EPP Program activities and services. Federal acquisition personnel (contractors and industry personnel are excluded) across the Federal government are encouraged to participate in this survey. You do not need to have any knowledge of EPA's EPP Program to take the survey. The survey will take between 15-30 minutes to complete. Please click on this link </w:t>
      </w:r>
      <w:hyperlink r:id="rId15" w:tooltip="FAI.gov website" w:history="1">
        <w:r w:rsidRPr="00D61038">
          <w:rPr>
            <w:rStyle w:val="Hyperlink"/>
            <w:rFonts w:ascii="Arial" w:hAnsi="Arial" w:cs="Arial"/>
          </w:rPr>
          <w:t>http://www.fai.gov/survey/2013_epa_epp_survey/</w:t>
        </w:r>
      </w:hyperlink>
      <w:r w:rsidRPr="00D61038">
        <w:rPr>
          <w:rFonts w:ascii="Arial" w:hAnsi="Arial" w:cs="Arial"/>
        </w:rPr>
        <w:t xml:space="preserve"> to access the survey. Completion of the survey is eligible for one (1) Continuous Learning Point (CLP). </w:t>
      </w:r>
    </w:p>
    <w:p w:rsidR="00D61038" w:rsidRPr="00D61038" w:rsidRDefault="00D61038" w:rsidP="00D61038">
      <w:pPr>
        <w:pStyle w:val="NormalWeb"/>
        <w:rPr>
          <w:rFonts w:ascii="Arial" w:hAnsi="Arial" w:cs="Arial"/>
        </w:rPr>
      </w:pPr>
      <w:r w:rsidRPr="00D61038">
        <w:rPr>
          <w:rFonts w:ascii="Arial" w:hAnsi="Arial" w:cs="Arial"/>
        </w:rPr>
        <w:t xml:space="preserve">If you have questions regarding the EPP Survey, please submit your inquiry to EPA's survey mailbox: </w:t>
      </w:r>
      <w:hyperlink r:id="rId16" w:history="1">
        <w:r w:rsidRPr="00D61038">
          <w:rPr>
            <w:rStyle w:val="Hyperlink"/>
            <w:rFonts w:ascii="Arial" w:hAnsi="Arial" w:cs="Arial"/>
          </w:rPr>
          <w:t>FederalPurchasingSurvey@epa.gov</w:t>
        </w:r>
      </w:hyperlink>
      <w:r w:rsidRPr="00D61038">
        <w:rPr>
          <w:rFonts w:ascii="Arial" w:hAnsi="Arial" w:cs="Arial"/>
        </w:rPr>
        <w:t xml:space="preserve">. To learn more about EPA's EPP Program visit their website </w:t>
      </w:r>
      <w:hyperlink r:id="rId17" w:tooltip="epa website" w:history="1">
        <w:r w:rsidRPr="00D61038">
          <w:rPr>
            <w:rStyle w:val="Hyperlink"/>
            <w:rFonts w:ascii="Arial" w:hAnsi="Arial" w:cs="Arial"/>
          </w:rPr>
          <w:t>http://www.epa.gov/epp/</w:t>
        </w:r>
      </w:hyperlink>
      <w:r w:rsidRPr="00D61038">
        <w:rPr>
          <w:rFonts w:ascii="Arial" w:hAnsi="Arial" w:cs="Arial"/>
        </w:rPr>
        <w:t>.</w:t>
      </w:r>
    </w:p>
    <w:p w:rsidR="00D61038" w:rsidRPr="00D61038" w:rsidRDefault="00D61038" w:rsidP="00D61038">
      <w:pPr>
        <w:pStyle w:val="NormalWeb"/>
        <w:rPr>
          <w:rFonts w:ascii="Arial" w:hAnsi="Arial" w:cs="Arial"/>
        </w:rPr>
      </w:pPr>
      <w:r w:rsidRPr="00D61038">
        <w:rPr>
          <w:rFonts w:ascii="Arial" w:hAnsi="Arial" w:cs="Arial"/>
        </w:rPr>
        <w:t> We appreciate your participation!</w:t>
      </w:r>
    </w:p>
    <w:p w:rsidR="00D61038" w:rsidRPr="00D61038" w:rsidRDefault="00D61038" w:rsidP="00D61038">
      <w:pPr>
        <w:pStyle w:val="Heading1"/>
      </w:pPr>
      <w:r w:rsidRPr="00D61038">
        <w:lastRenderedPageBreak/>
        <w:t>FY 2012 Small Business Goaling Report</w:t>
      </w:r>
    </w:p>
    <w:p w:rsidR="00D61038" w:rsidRDefault="00D61038" w:rsidP="00D61038">
      <w:pPr>
        <w:rPr>
          <w:rFonts w:ascii="Arial" w:hAnsi="Arial" w:cs="Arial"/>
          <w:sz w:val="24"/>
          <w:szCs w:val="24"/>
        </w:rPr>
      </w:pPr>
    </w:p>
    <w:p w:rsidR="00D61038" w:rsidRPr="00D61038" w:rsidRDefault="00D61038" w:rsidP="00D61038">
      <w:pPr>
        <w:rPr>
          <w:rFonts w:ascii="Arial" w:hAnsi="Arial" w:cs="Arial"/>
          <w:sz w:val="24"/>
          <w:szCs w:val="24"/>
        </w:rPr>
      </w:pPr>
      <w:r w:rsidRPr="00D61038">
        <w:rPr>
          <w:rFonts w:ascii="Arial" w:hAnsi="Arial" w:cs="Arial"/>
          <w:sz w:val="24"/>
          <w:szCs w:val="24"/>
        </w:rPr>
        <w:t>Congratulations to the National Institutes of Health Acquisition Community on a successful Small Business Goaling Report for FY’12.  Below is the anticipated final small business dollars, actions and achieved percentages for FY’12.</w:t>
      </w:r>
    </w:p>
    <w:tbl>
      <w:tblPr>
        <w:tblStyle w:val="TableGrid"/>
        <w:tblW w:w="0" w:type="auto"/>
        <w:tblLook w:val="04A0" w:firstRow="1" w:lastRow="0" w:firstColumn="1" w:lastColumn="0" w:noHBand="0" w:noVBand="1"/>
        <w:tblCaption w:val="FY 2012 Small Business Goaling Report"/>
      </w:tblPr>
      <w:tblGrid>
        <w:gridCol w:w="3618"/>
        <w:gridCol w:w="1097"/>
        <w:gridCol w:w="2250"/>
        <w:gridCol w:w="1530"/>
      </w:tblGrid>
      <w:tr w:rsidR="00D61038" w:rsidRPr="00D61038" w:rsidTr="00D07AD2">
        <w:trPr>
          <w:tblHeader/>
        </w:trPr>
        <w:tc>
          <w:tcPr>
            <w:tcW w:w="3618" w:type="dxa"/>
          </w:tcPr>
          <w:p w:rsidR="00D61038" w:rsidRPr="00D61038" w:rsidRDefault="00D61038" w:rsidP="00FC74D3">
            <w:pPr>
              <w:rPr>
                <w:rFonts w:ascii="Arial" w:hAnsi="Arial" w:cs="Arial"/>
                <w:sz w:val="24"/>
                <w:szCs w:val="24"/>
              </w:rPr>
            </w:pPr>
          </w:p>
        </w:tc>
        <w:tc>
          <w:tcPr>
            <w:tcW w:w="1097" w:type="dxa"/>
          </w:tcPr>
          <w:p w:rsidR="00D61038" w:rsidRPr="0060514C" w:rsidRDefault="00D61038" w:rsidP="00FC74D3">
            <w:pPr>
              <w:jc w:val="center"/>
              <w:rPr>
                <w:rStyle w:val="Strong"/>
              </w:rPr>
            </w:pPr>
            <w:r w:rsidRPr="0060514C">
              <w:rPr>
                <w:rStyle w:val="Strong"/>
              </w:rPr>
              <w:t>Actions</w:t>
            </w:r>
          </w:p>
        </w:tc>
        <w:tc>
          <w:tcPr>
            <w:tcW w:w="2250" w:type="dxa"/>
          </w:tcPr>
          <w:p w:rsidR="00D61038" w:rsidRPr="0060514C" w:rsidRDefault="00D61038" w:rsidP="00FC74D3">
            <w:pPr>
              <w:jc w:val="center"/>
              <w:rPr>
                <w:rStyle w:val="Strong"/>
              </w:rPr>
            </w:pPr>
            <w:r w:rsidRPr="0060514C">
              <w:rPr>
                <w:rStyle w:val="Strong"/>
              </w:rPr>
              <w:t>Dollars</w:t>
            </w:r>
          </w:p>
        </w:tc>
        <w:tc>
          <w:tcPr>
            <w:tcW w:w="1530" w:type="dxa"/>
          </w:tcPr>
          <w:p w:rsidR="00D61038" w:rsidRPr="0060514C" w:rsidRDefault="00D61038" w:rsidP="00FC74D3">
            <w:pPr>
              <w:jc w:val="center"/>
              <w:rPr>
                <w:rStyle w:val="Strong"/>
              </w:rPr>
            </w:pPr>
            <w:r w:rsidRPr="0060514C">
              <w:rPr>
                <w:rStyle w:val="Strong"/>
              </w:rPr>
              <w:t>Percentage</w:t>
            </w:r>
          </w:p>
        </w:tc>
      </w:tr>
      <w:tr w:rsidR="00D61038" w:rsidRPr="00D61038" w:rsidTr="00D61038">
        <w:tc>
          <w:tcPr>
            <w:tcW w:w="3618" w:type="dxa"/>
          </w:tcPr>
          <w:p w:rsidR="00D61038" w:rsidRPr="0060514C" w:rsidRDefault="00D61038" w:rsidP="00FC74D3">
            <w:pPr>
              <w:rPr>
                <w:rStyle w:val="Strong"/>
              </w:rPr>
            </w:pPr>
            <w:r w:rsidRPr="0060514C">
              <w:rPr>
                <w:rStyle w:val="Strong"/>
              </w:rPr>
              <w:t>Small Business</w:t>
            </w:r>
          </w:p>
        </w:tc>
        <w:tc>
          <w:tcPr>
            <w:tcW w:w="1097"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12,681</w:t>
            </w:r>
          </w:p>
        </w:tc>
        <w:tc>
          <w:tcPr>
            <w:tcW w:w="2250" w:type="dxa"/>
          </w:tcPr>
          <w:p w:rsidR="00D61038" w:rsidRPr="00D61038" w:rsidRDefault="00D61038" w:rsidP="00FC74D3">
            <w:pPr>
              <w:jc w:val="right"/>
              <w:rPr>
                <w:rFonts w:ascii="Arial" w:hAnsi="Arial" w:cs="Arial"/>
                <w:sz w:val="24"/>
                <w:szCs w:val="24"/>
              </w:rPr>
            </w:pPr>
            <w:r w:rsidRPr="00D61038">
              <w:rPr>
                <w:rFonts w:ascii="Arial" w:hAnsi="Arial" w:cs="Arial"/>
                <w:sz w:val="24"/>
                <w:szCs w:val="24"/>
              </w:rPr>
              <w:t>$1,160,424,936.92</w:t>
            </w:r>
          </w:p>
        </w:tc>
        <w:tc>
          <w:tcPr>
            <w:tcW w:w="1530"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28.0556%</w:t>
            </w:r>
          </w:p>
        </w:tc>
      </w:tr>
      <w:tr w:rsidR="00D61038" w:rsidRPr="00D61038" w:rsidTr="00D61038">
        <w:tc>
          <w:tcPr>
            <w:tcW w:w="3618" w:type="dxa"/>
          </w:tcPr>
          <w:p w:rsidR="00D61038" w:rsidRPr="0060514C" w:rsidRDefault="00D61038" w:rsidP="00FC74D3">
            <w:pPr>
              <w:rPr>
                <w:rStyle w:val="Strong"/>
              </w:rPr>
            </w:pPr>
            <w:r w:rsidRPr="0060514C">
              <w:rPr>
                <w:rStyle w:val="Strong"/>
              </w:rPr>
              <w:t>Small Disadvantaged Business</w:t>
            </w:r>
          </w:p>
        </w:tc>
        <w:tc>
          <w:tcPr>
            <w:tcW w:w="1097"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2,726</w:t>
            </w:r>
          </w:p>
        </w:tc>
        <w:tc>
          <w:tcPr>
            <w:tcW w:w="2250" w:type="dxa"/>
          </w:tcPr>
          <w:p w:rsidR="00D61038" w:rsidRPr="00D61038" w:rsidRDefault="00D61038" w:rsidP="00FC74D3">
            <w:pPr>
              <w:jc w:val="right"/>
              <w:rPr>
                <w:rFonts w:ascii="Arial" w:hAnsi="Arial" w:cs="Arial"/>
                <w:sz w:val="24"/>
                <w:szCs w:val="24"/>
              </w:rPr>
            </w:pPr>
            <w:r w:rsidRPr="00D61038">
              <w:rPr>
                <w:rFonts w:ascii="Arial" w:hAnsi="Arial" w:cs="Arial"/>
                <w:sz w:val="24"/>
                <w:szCs w:val="24"/>
              </w:rPr>
              <w:t>$317,894,411.29</w:t>
            </w:r>
          </w:p>
        </w:tc>
        <w:tc>
          <w:tcPr>
            <w:tcW w:w="1530"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7.6857%</w:t>
            </w:r>
          </w:p>
        </w:tc>
      </w:tr>
      <w:tr w:rsidR="00D61038" w:rsidRPr="00D61038" w:rsidTr="00D61038">
        <w:tc>
          <w:tcPr>
            <w:tcW w:w="3618" w:type="dxa"/>
          </w:tcPr>
          <w:p w:rsidR="00D61038" w:rsidRPr="0060514C" w:rsidRDefault="00D61038" w:rsidP="00FC74D3">
            <w:pPr>
              <w:rPr>
                <w:rStyle w:val="Strong"/>
              </w:rPr>
            </w:pPr>
            <w:r w:rsidRPr="0060514C">
              <w:rPr>
                <w:rStyle w:val="Strong"/>
              </w:rPr>
              <w:t>8(a) Procedure</w:t>
            </w:r>
          </w:p>
        </w:tc>
        <w:tc>
          <w:tcPr>
            <w:tcW w:w="1097"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964</w:t>
            </w:r>
          </w:p>
        </w:tc>
        <w:tc>
          <w:tcPr>
            <w:tcW w:w="2250" w:type="dxa"/>
          </w:tcPr>
          <w:p w:rsidR="00D61038" w:rsidRPr="00D61038" w:rsidRDefault="00D61038" w:rsidP="00FC74D3">
            <w:pPr>
              <w:jc w:val="right"/>
              <w:rPr>
                <w:rFonts w:ascii="Arial" w:hAnsi="Arial" w:cs="Arial"/>
                <w:sz w:val="24"/>
                <w:szCs w:val="24"/>
              </w:rPr>
            </w:pPr>
            <w:r w:rsidRPr="00D61038">
              <w:rPr>
                <w:rFonts w:ascii="Arial" w:hAnsi="Arial" w:cs="Arial"/>
                <w:sz w:val="24"/>
                <w:szCs w:val="24"/>
              </w:rPr>
              <w:t>$161,836,268.68</w:t>
            </w:r>
          </w:p>
        </w:tc>
        <w:tc>
          <w:tcPr>
            <w:tcW w:w="1530"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3.9127%</w:t>
            </w:r>
          </w:p>
        </w:tc>
      </w:tr>
      <w:tr w:rsidR="00D61038" w:rsidRPr="00D61038" w:rsidTr="00D61038">
        <w:tc>
          <w:tcPr>
            <w:tcW w:w="3618" w:type="dxa"/>
          </w:tcPr>
          <w:p w:rsidR="00D61038" w:rsidRPr="0060514C" w:rsidRDefault="00D61038" w:rsidP="00FC74D3">
            <w:pPr>
              <w:rPr>
                <w:rStyle w:val="Strong"/>
              </w:rPr>
            </w:pPr>
            <w:r w:rsidRPr="0060514C">
              <w:rPr>
                <w:rStyle w:val="Strong"/>
              </w:rPr>
              <w:t>Veteran Owned Small Business</w:t>
            </w:r>
          </w:p>
        </w:tc>
        <w:tc>
          <w:tcPr>
            <w:tcW w:w="1097"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1,267</w:t>
            </w:r>
          </w:p>
        </w:tc>
        <w:tc>
          <w:tcPr>
            <w:tcW w:w="2250" w:type="dxa"/>
          </w:tcPr>
          <w:p w:rsidR="00D61038" w:rsidRPr="00D61038" w:rsidRDefault="00D61038" w:rsidP="00FC74D3">
            <w:pPr>
              <w:jc w:val="right"/>
              <w:rPr>
                <w:rFonts w:ascii="Arial" w:hAnsi="Arial" w:cs="Arial"/>
                <w:sz w:val="24"/>
                <w:szCs w:val="24"/>
              </w:rPr>
            </w:pPr>
            <w:r w:rsidRPr="00D61038">
              <w:rPr>
                <w:rFonts w:ascii="Arial" w:hAnsi="Arial" w:cs="Arial"/>
                <w:sz w:val="24"/>
                <w:szCs w:val="24"/>
              </w:rPr>
              <w:t>$129,249,280.77</w:t>
            </w:r>
          </w:p>
        </w:tc>
        <w:tc>
          <w:tcPr>
            <w:tcW w:w="1530"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3.1249%</w:t>
            </w:r>
          </w:p>
        </w:tc>
      </w:tr>
      <w:tr w:rsidR="00D61038" w:rsidRPr="00D61038" w:rsidTr="00D61038">
        <w:tc>
          <w:tcPr>
            <w:tcW w:w="3618" w:type="dxa"/>
          </w:tcPr>
          <w:p w:rsidR="00D61038" w:rsidRPr="0060514C" w:rsidRDefault="00D61038" w:rsidP="00FC74D3">
            <w:pPr>
              <w:rPr>
                <w:rStyle w:val="Strong"/>
              </w:rPr>
            </w:pPr>
            <w:r w:rsidRPr="0060514C">
              <w:rPr>
                <w:rStyle w:val="Strong"/>
              </w:rPr>
              <w:t>Service Disabled Veteran Owned Small Business</w:t>
            </w:r>
          </w:p>
        </w:tc>
        <w:tc>
          <w:tcPr>
            <w:tcW w:w="1097"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449</w:t>
            </w:r>
          </w:p>
        </w:tc>
        <w:tc>
          <w:tcPr>
            <w:tcW w:w="2250" w:type="dxa"/>
          </w:tcPr>
          <w:p w:rsidR="00D61038" w:rsidRPr="00D61038" w:rsidRDefault="00D61038" w:rsidP="00FC74D3">
            <w:pPr>
              <w:jc w:val="right"/>
              <w:rPr>
                <w:rFonts w:ascii="Arial" w:hAnsi="Arial" w:cs="Arial"/>
                <w:sz w:val="24"/>
                <w:szCs w:val="24"/>
              </w:rPr>
            </w:pPr>
            <w:r w:rsidRPr="00D61038">
              <w:rPr>
                <w:rFonts w:ascii="Arial" w:hAnsi="Arial" w:cs="Arial"/>
                <w:sz w:val="24"/>
                <w:szCs w:val="24"/>
              </w:rPr>
              <w:t>$44,009,780.03</w:t>
            </w:r>
          </w:p>
        </w:tc>
        <w:tc>
          <w:tcPr>
            <w:tcW w:w="1530"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1.0640%</w:t>
            </w:r>
          </w:p>
        </w:tc>
      </w:tr>
      <w:tr w:rsidR="00D61038" w:rsidRPr="00D61038" w:rsidTr="00D61038">
        <w:tc>
          <w:tcPr>
            <w:tcW w:w="3618" w:type="dxa"/>
          </w:tcPr>
          <w:p w:rsidR="00D61038" w:rsidRPr="0060514C" w:rsidRDefault="00D61038" w:rsidP="00FC74D3">
            <w:pPr>
              <w:rPr>
                <w:rStyle w:val="Strong"/>
              </w:rPr>
            </w:pPr>
            <w:r w:rsidRPr="0060514C">
              <w:rPr>
                <w:rStyle w:val="Strong"/>
              </w:rPr>
              <w:t>Women Owned Small Business</w:t>
            </w:r>
          </w:p>
        </w:tc>
        <w:tc>
          <w:tcPr>
            <w:tcW w:w="1097"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3,041</w:t>
            </w:r>
          </w:p>
        </w:tc>
        <w:tc>
          <w:tcPr>
            <w:tcW w:w="2250" w:type="dxa"/>
          </w:tcPr>
          <w:p w:rsidR="00D61038" w:rsidRPr="00D61038" w:rsidRDefault="00D61038" w:rsidP="00FC74D3">
            <w:pPr>
              <w:jc w:val="right"/>
              <w:rPr>
                <w:rFonts w:ascii="Arial" w:hAnsi="Arial" w:cs="Arial"/>
                <w:sz w:val="24"/>
                <w:szCs w:val="24"/>
              </w:rPr>
            </w:pPr>
            <w:r w:rsidRPr="00D61038">
              <w:rPr>
                <w:rFonts w:ascii="Arial" w:hAnsi="Arial" w:cs="Arial"/>
                <w:sz w:val="24"/>
                <w:szCs w:val="24"/>
              </w:rPr>
              <w:t>$316,521,013.02</w:t>
            </w:r>
          </w:p>
        </w:tc>
        <w:tc>
          <w:tcPr>
            <w:tcW w:w="1530"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7.6525%</w:t>
            </w:r>
          </w:p>
        </w:tc>
      </w:tr>
      <w:tr w:rsidR="00D61038" w:rsidRPr="00D61038" w:rsidTr="00D61038">
        <w:tc>
          <w:tcPr>
            <w:tcW w:w="3618" w:type="dxa"/>
          </w:tcPr>
          <w:p w:rsidR="00D61038" w:rsidRPr="0060514C" w:rsidRDefault="00D61038" w:rsidP="00FC74D3">
            <w:pPr>
              <w:rPr>
                <w:rStyle w:val="Strong"/>
              </w:rPr>
            </w:pPr>
            <w:r w:rsidRPr="0060514C">
              <w:rPr>
                <w:rStyle w:val="Strong"/>
              </w:rPr>
              <w:t>Certified HUBZone Small Business</w:t>
            </w:r>
          </w:p>
        </w:tc>
        <w:tc>
          <w:tcPr>
            <w:tcW w:w="1097"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475</w:t>
            </w:r>
          </w:p>
        </w:tc>
        <w:tc>
          <w:tcPr>
            <w:tcW w:w="2250" w:type="dxa"/>
          </w:tcPr>
          <w:p w:rsidR="00D61038" w:rsidRPr="00D61038" w:rsidRDefault="00D61038" w:rsidP="00FC74D3">
            <w:pPr>
              <w:jc w:val="right"/>
              <w:rPr>
                <w:rFonts w:ascii="Arial" w:hAnsi="Arial" w:cs="Arial"/>
                <w:sz w:val="24"/>
                <w:szCs w:val="24"/>
              </w:rPr>
            </w:pPr>
            <w:r w:rsidRPr="00D61038">
              <w:rPr>
                <w:rFonts w:ascii="Arial" w:hAnsi="Arial" w:cs="Arial"/>
                <w:sz w:val="24"/>
                <w:szCs w:val="24"/>
              </w:rPr>
              <w:t>$31,670,728.90</w:t>
            </w:r>
          </w:p>
        </w:tc>
        <w:tc>
          <w:tcPr>
            <w:tcW w:w="1530"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0.7657%</w:t>
            </w:r>
          </w:p>
        </w:tc>
      </w:tr>
      <w:tr w:rsidR="00D61038" w:rsidRPr="00D61038" w:rsidTr="00D61038">
        <w:tc>
          <w:tcPr>
            <w:tcW w:w="3618" w:type="dxa"/>
          </w:tcPr>
          <w:p w:rsidR="00D61038" w:rsidRPr="0060514C" w:rsidRDefault="00D61038" w:rsidP="00FC74D3">
            <w:pPr>
              <w:rPr>
                <w:rStyle w:val="Strong"/>
              </w:rPr>
            </w:pPr>
            <w:r w:rsidRPr="0060514C">
              <w:rPr>
                <w:rStyle w:val="Strong"/>
              </w:rPr>
              <w:t>Total Small Business Eligible</w:t>
            </w:r>
          </w:p>
        </w:tc>
        <w:tc>
          <w:tcPr>
            <w:tcW w:w="1097"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31,314</w:t>
            </w:r>
          </w:p>
        </w:tc>
        <w:tc>
          <w:tcPr>
            <w:tcW w:w="2250" w:type="dxa"/>
          </w:tcPr>
          <w:p w:rsidR="00D61038" w:rsidRPr="00D61038" w:rsidRDefault="00D61038" w:rsidP="00FC74D3">
            <w:pPr>
              <w:jc w:val="right"/>
              <w:rPr>
                <w:rFonts w:ascii="Arial" w:hAnsi="Arial" w:cs="Arial"/>
                <w:sz w:val="24"/>
                <w:szCs w:val="24"/>
              </w:rPr>
            </w:pPr>
            <w:r w:rsidRPr="00D61038">
              <w:rPr>
                <w:rFonts w:ascii="Arial" w:hAnsi="Arial" w:cs="Arial"/>
                <w:sz w:val="24"/>
                <w:szCs w:val="24"/>
              </w:rPr>
              <w:t>$4,136,158.453.93</w:t>
            </w:r>
          </w:p>
        </w:tc>
        <w:tc>
          <w:tcPr>
            <w:tcW w:w="1530" w:type="dxa"/>
          </w:tcPr>
          <w:p w:rsidR="00D61038" w:rsidRPr="00D61038" w:rsidRDefault="00D61038" w:rsidP="00FC74D3">
            <w:pPr>
              <w:jc w:val="center"/>
              <w:rPr>
                <w:rFonts w:ascii="Arial" w:hAnsi="Arial" w:cs="Arial"/>
                <w:sz w:val="24"/>
                <w:szCs w:val="24"/>
              </w:rPr>
            </w:pPr>
            <w:r w:rsidRPr="00D61038">
              <w:rPr>
                <w:rFonts w:ascii="Arial" w:hAnsi="Arial" w:cs="Arial"/>
                <w:sz w:val="24"/>
                <w:szCs w:val="24"/>
              </w:rPr>
              <w:t>n/a</w:t>
            </w:r>
          </w:p>
        </w:tc>
      </w:tr>
    </w:tbl>
    <w:p w:rsidR="00D61038" w:rsidRPr="00D61038" w:rsidRDefault="00D61038" w:rsidP="00D61038">
      <w:pPr>
        <w:rPr>
          <w:rFonts w:ascii="Arial" w:hAnsi="Arial" w:cs="Arial"/>
          <w:sz w:val="24"/>
          <w:szCs w:val="24"/>
        </w:rPr>
      </w:pPr>
    </w:p>
    <w:p w:rsidR="00D61038" w:rsidRPr="00D61038" w:rsidRDefault="00D61038" w:rsidP="00D61038">
      <w:pPr>
        <w:rPr>
          <w:rFonts w:ascii="Arial" w:hAnsi="Arial" w:cs="Arial"/>
          <w:sz w:val="24"/>
          <w:szCs w:val="24"/>
        </w:rPr>
      </w:pPr>
      <w:r w:rsidRPr="00D61038">
        <w:rPr>
          <w:rFonts w:ascii="Arial" w:hAnsi="Arial" w:cs="Arial"/>
          <w:sz w:val="24"/>
          <w:szCs w:val="24"/>
        </w:rPr>
        <w:t xml:space="preserve">NIH not only met but exceeded the HHS OSDBU assigned 23% small business goal to achieve 28% in the total small business area.  Additionally, you continue to meet and exceed the Small Disadvantaged Business (7.6%), Women-Owned (7.6%), and Veteran-Owned Small Business (3.1%) Percentages. </w:t>
      </w:r>
    </w:p>
    <w:p w:rsidR="00D61038" w:rsidRPr="00D61038" w:rsidRDefault="00D61038" w:rsidP="00D61038">
      <w:pPr>
        <w:rPr>
          <w:rFonts w:ascii="Arial" w:hAnsi="Arial" w:cs="Arial"/>
          <w:sz w:val="24"/>
          <w:szCs w:val="24"/>
        </w:rPr>
      </w:pPr>
      <w:r w:rsidRPr="00D61038">
        <w:rPr>
          <w:rFonts w:ascii="Arial" w:hAnsi="Arial" w:cs="Arial"/>
          <w:sz w:val="24"/>
          <w:szCs w:val="24"/>
        </w:rPr>
        <w:t xml:space="preserve">Therefore, to continue our successful trend in the small business area, we must continue to make every effort to improve the percentages in the statutory prescribed goals for the Service Disabled Veteran and the HUBZone areas. </w:t>
      </w:r>
    </w:p>
    <w:p w:rsidR="00D61038" w:rsidRPr="00D61038" w:rsidRDefault="00D61038" w:rsidP="00D61038">
      <w:pPr>
        <w:rPr>
          <w:rFonts w:ascii="Arial" w:hAnsi="Arial" w:cs="Arial"/>
          <w:sz w:val="24"/>
          <w:szCs w:val="24"/>
        </w:rPr>
      </w:pPr>
      <w:r w:rsidRPr="00D61038">
        <w:rPr>
          <w:rFonts w:ascii="Arial" w:hAnsi="Arial" w:cs="Arial"/>
          <w:sz w:val="24"/>
          <w:szCs w:val="24"/>
        </w:rPr>
        <w:t xml:space="preserve">The key to your continued small business achievements are: </w:t>
      </w:r>
    </w:p>
    <w:p w:rsidR="00D61038" w:rsidRPr="00D61038" w:rsidRDefault="00D61038" w:rsidP="00D61038">
      <w:pPr>
        <w:numPr>
          <w:ilvl w:val="0"/>
          <w:numId w:val="12"/>
        </w:numPr>
        <w:spacing w:after="0" w:line="240" w:lineRule="auto"/>
        <w:rPr>
          <w:rFonts w:ascii="Arial" w:hAnsi="Arial" w:cs="Arial"/>
          <w:sz w:val="24"/>
          <w:szCs w:val="24"/>
        </w:rPr>
      </w:pPr>
      <w:r w:rsidRPr="00D61038">
        <w:rPr>
          <w:rFonts w:ascii="Arial" w:hAnsi="Arial" w:cs="Arial"/>
          <w:sz w:val="24"/>
          <w:szCs w:val="24"/>
        </w:rPr>
        <w:t>Early Acquisition Planning</w:t>
      </w:r>
    </w:p>
    <w:p w:rsidR="00D61038" w:rsidRPr="00D61038" w:rsidRDefault="00D61038" w:rsidP="00D61038">
      <w:pPr>
        <w:numPr>
          <w:ilvl w:val="0"/>
          <w:numId w:val="12"/>
        </w:numPr>
        <w:spacing w:after="0" w:line="240" w:lineRule="auto"/>
        <w:rPr>
          <w:rFonts w:ascii="Arial" w:hAnsi="Arial" w:cs="Arial"/>
          <w:sz w:val="24"/>
          <w:szCs w:val="24"/>
        </w:rPr>
      </w:pPr>
      <w:r w:rsidRPr="00D61038">
        <w:rPr>
          <w:rFonts w:ascii="Arial" w:hAnsi="Arial" w:cs="Arial"/>
          <w:sz w:val="24"/>
          <w:szCs w:val="24"/>
        </w:rPr>
        <w:t>Adequate Market Research</w:t>
      </w:r>
    </w:p>
    <w:p w:rsidR="00D61038" w:rsidRPr="00D61038" w:rsidRDefault="00D61038" w:rsidP="00D61038">
      <w:pPr>
        <w:numPr>
          <w:ilvl w:val="0"/>
          <w:numId w:val="12"/>
        </w:numPr>
        <w:spacing w:after="0" w:line="240" w:lineRule="auto"/>
        <w:rPr>
          <w:rFonts w:ascii="Arial" w:hAnsi="Arial" w:cs="Arial"/>
          <w:sz w:val="24"/>
          <w:szCs w:val="24"/>
        </w:rPr>
      </w:pPr>
      <w:r w:rsidRPr="00D61038">
        <w:rPr>
          <w:rFonts w:ascii="Arial" w:hAnsi="Arial" w:cs="Arial"/>
          <w:sz w:val="24"/>
          <w:szCs w:val="24"/>
        </w:rPr>
        <w:t>Receiving Small Business Review Recommendations and</w:t>
      </w:r>
    </w:p>
    <w:p w:rsidR="00D61038" w:rsidRPr="00D61038" w:rsidRDefault="00D61038" w:rsidP="00D61038">
      <w:pPr>
        <w:numPr>
          <w:ilvl w:val="0"/>
          <w:numId w:val="12"/>
        </w:numPr>
        <w:spacing w:after="0" w:line="240" w:lineRule="auto"/>
        <w:rPr>
          <w:rFonts w:ascii="Arial" w:hAnsi="Arial" w:cs="Arial"/>
          <w:sz w:val="24"/>
          <w:szCs w:val="24"/>
        </w:rPr>
      </w:pPr>
      <w:r w:rsidRPr="00D61038">
        <w:rPr>
          <w:rFonts w:ascii="Arial" w:hAnsi="Arial" w:cs="Arial"/>
          <w:sz w:val="24"/>
          <w:szCs w:val="24"/>
        </w:rPr>
        <w:t>Collaborating with your (great) NIH Small Business Specialists</w:t>
      </w:r>
    </w:p>
    <w:p w:rsidR="00D61038" w:rsidRDefault="00D61038" w:rsidP="00200C7A">
      <w:pPr>
        <w:pStyle w:val="Heading1"/>
      </w:pPr>
    </w:p>
    <w:p w:rsidR="006126DF" w:rsidRPr="006126DF" w:rsidRDefault="006126DF" w:rsidP="006126DF"/>
    <w:p w:rsidR="004F32B9" w:rsidRPr="00FC66B4" w:rsidRDefault="004F32B9" w:rsidP="00200C7A">
      <w:pPr>
        <w:pStyle w:val="Heading1"/>
      </w:pPr>
      <w:r w:rsidRPr="00FC66B4">
        <w:lastRenderedPageBreak/>
        <w:t>Acquisition Training Schedule</w:t>
      </w:r>
    </w:p>
    <w:p w:rsidR="004F32B9" w:rsidRDefault="004F32B9" w:rsidP="00765F38">
      <w:pPr>
        <w:spacing w:line="240" w:lineRule="auto"/>
        <w:rPr>
          <w:rFonts w:ascii="Arial" w:hAnsi="Arial" w:cs="Arial"/>
          <w:sz w:val="24"/>
          <w:szCs w:val="24"/>
        </w:rPr>
      </w:pPr>
      <w:r w:rsidRPr="00E55F8B">
        <w:rPr>
          <w:rFonts w:ascii="Arial" w:hAnsi="Arial" w:cs="Arial"/>
          <w:sz w:val="24"/>
          <w:szCs w:val="24"/>
        </w:rPr>
        <w:t xml:space="preserve">Acquisition Training Classes can be accessed at the following link: </w:t>
      </w:r>
      <w:hyperlink r:id="rId18" w:tooltip="Acquisition Training Classes" w:history="1">
        <w:r w:rsidRPr="00E55F8B">
          <w:rPr>
            <w:rStyle w:val="Hyperlink"/>
            <w:rFonts w:ascii="Arial" w:hAnsi="Arial" w:cs="Arial"/>
            <w:sz w:val="24"/>
            <w:szCs w:val="24"/>
          </w:rPr>
          <w:t>http://trainingcenter.nih.go</w:t>
        </w:r>
        <w:r w:rsidRPr="00E55F8B">
          <w:rPr>
            <w:rStyle w:val="Hyperlink"/>
            <w:rFonts w:ascii="Arial" w:hAnsi="Arial" w:cs="Arial"/>
            <w:sz w:val="24"/>
            <w:szCs w:val="24"/>
          </w:rPr>
          <w:t>v</w:t>
        </w:r>
        <w:r w:rsidRPr="00E55F8B">
          <w:rPr>
            <w:rStyle w:val="Hyperlink"/>
            <w:rFonts w:ascii="Arial" w:hAnsi="Arial" w:cs="Arial"/>
            <w:sz w:val="24"/>
            <w:szCs w:val="24"/>
          </w:rPr>
          <w:t>/list.aspx?catId=1</w:t>
        </w:r>
      </w:hyperlink>
    </w:p>
    <w:p w:rsidR="00F43370" w:rsidRPr="006E15C4" w:rsidRDefault="00F43370" w:rsidP="006E15C4">
      <w:pPr>
        <w:rPr>
          <w:rFonts w:ascii="Arial" w:hAnsi="Arial" w:cs="Arial"/>
          <w:b/>
          <w:sz w:val="24"/>
          <w:szCs w:val="24"/>
        </w:rPr>
      </w:pPr>
      <w:r w:rsidRPr="006E15C4">
        <w:rPr>
          <w:rFonts w:ascii="Arial" w:hAnsi="Arial" w:cs="Arial"/>
          <w:sz w:val="24"/>
          <w:szCs w:val="24"/>
        </w:rPr>
        <w:t>CON 100 Shaping Small Business Arrangements</w:t>
      </w:r>
    </w:p>
    <w:p w:rsidR="00F43370" w:rsidRPr="006E15C4" w:rsidRDefault="00C0509A" w:rsidP="006E15C4">
      <w:pPr>
        <w:rPr>
          <w:rFonts w:ascii="Arial" w:hAnsi="Arial" w:cs="Arial"/>
          <w:b/>
          <w:sz w:val="24"/>
          <w:szCs w:val="24"/>
        </w:rPr>
      </w:pPr>
      <w:hyperlink r:id="rId19" w:tooltip="CON 100 Shaping Small Business Arrangements" w:history="1">
        <w:r w:rsidR="00F43370" w:rsidRPr="006E15C4">
          <w:rPr>
            <w:rStyle w:val="Hyperlink"/>
            <w:rFonts w:ascii="Arial" w:hAnsi="Arial" w:cs="Arial"/>
            <w:sz w:val="24"/>
            <w:szCs w:val="24"/>
          </w:rPr>
          <w:t>http://trainingcenter.nih.gov/sho</w:t>
        </w:r>
        <w:r w:rsidR="00F43370" w:rsidRPr="006E15C4">
          <w:rPr>
            <w:rStyle w:val="Hyperlink"/>
            <w:rFonts w:ascii="Arial" w:hAnsi="Arial" w:cs="Arial"/>
            <w:sz w:val="24"/>
            <w:szCs w:val="24"/>
          </w:rPr>
          <w:t>w</w:t>
        </w:r>
        <w:r w:rsidR="00F43370" w:rsidRPr="006E15C4">
          <w:rPr>
            <w:rStyle w:val="Hyperlink"/>
            <w:rFonts w:ascii="Arial" w:hAnsi="Arial" w:cs="Arial"/>
            <w:sz w:val="24"/>
            <w:szCs w:val="24"/>
          </w:rPr>
          <w:t>_details.aspx?cId=NIHTC9566</w:t>
        </w:r>
      </w:hyperlink>
    </w:p>
    <w:p w:rsidR="00F43370" w:rsidRPr="006E15C4" w:rsidRDefault="00F43370" w:rsidP="006E15C4">
      <w:pPr>
        <w:rPr>
          <w:rFonts w:ascii="Arial" w:eastAsia="Times New Roman" w:hAnsi="Arial" w:cs="Arial"/>
          <w:bCs/>
          <w:kern w:val="36"/>
          <w:sz w:val="24"/>
          <w:szCs w:val="24"/>
        </w:rPr>
      </w:pPr>
      <w:r w:rsidRPr="006E15C4">
        <w:rPr>
          <w:rFonts w:ascii="Arial" w:eastAsia="Times New Roman" w:hAnsi="Arial" w:cs="Arial"/>
          <w:bCs/>
          <w:kern w:val="36"/>
          <w:sz w:val="24"/>
          <w:szCs w:val="24"/>
        </w:rPr>
        <w:t>CON110 Mission Support Planning</w:t>
      </w:r>
    </w:p>
    <w:p w:rsidR="00F43370" w:rsidRPr="006E15C4" w:rsidRDefault="00C0509A" w:rsidP="006E15C4">
      <w:pPr>
        <w:rPr>
          <w:rFonts w:ascii="Arial" w:eastAsia="Times New Roman" w:hAnsi="Arial" w:cs="Arial"/>
          <w:bCs/>
          <w:kern w:val="36"/>
          <w:sz w:val="24"/>
          <w:szCs w:val="24"/>
        </w:rPr>
      </w:pPr>
      <w:hyperlink r:id="rId20" w:tooltip="CON110 Mission Support Planning" w:history="1">
        <w:r w:rsidR="00F43370" w:rsidRPr="006E15C4">
          <w:rPr>
            <w:rStyle w:val="Hyperlink"/>
            <w:rFonts w:ascii="Arial" w:eastAsia="Times New Roman" w:hAnsi="Arial" w:cs="Arial"/>
            <w:bCs/>
            <w:kern w:val="36"/>
            <w:sz w:val="24"/>
            <w:szCs w:val="24"/>
          </w:rPr>
          <w:t>http://trainingcenter.nih.gov/sh</w:t>
        </w:r>
        <w:r w:rsidR="00F43370" w:rsidRPr="006E15C4">
          <w:rPr>
            <w:rStyle w:val="Hyperlink"/>
            <w:rFonts w:ascii="Arial" w:eastAsia="Times New Roman" w:hAnsi="Arial" w:cs="Arial"/>
            <w:bCs/>
            <w:kern w:val="36"/>
            <w:sz w:val="24"/>
            <w:szCs w:val="24"/>
          </w:rPr>
          <w:t>o</w:t>
        </w:r>
        <w:r w:rsidR="00F43370" w:rsidRPr="006E15C4">
          <w:rPr>
            <w:rStyle w:val="Hyperlink"/>
            <w:rFonts w:ascii="Arial" w:eastAsia="Times New Roman" w:hAnsi="Arial" w:cs="Arial"/>
            <w:bCs/>
            <w:kern w:val="36"/>
            <w:sz w:val="24"/>
            <w:szCs w:val="24"/>
          </w:rPr>
          <w:t>w_details.aspx?cId=NIHTC9568</w:t>
        </w:r>
      </w:hyperlink>
    </w:p>
    <w:p w:rsidR="00F43370" w:rsidRPr="006E15C4" w:rsidRDefault="00F43370" w:rsidP="006E15C4">
      <w:pPr>
        <w:rPr>
          <w:rFonts w:ascii="Arial" w:eastAsia="Times New Roman" w:hAnsi="Arial" w:cs="Arial"/>
          <w:bCs/>
          <w:kern w:val="36"/>
          <w:sz w:val="24"/>
          <w:szCs w:val="24"/>
        </w:rPr>
      </w:pPr>
      <w:r w:rsidRPr="006E15C4">
        <w:rPr>
          <w:rFonts w:ascii="Arial" w:hAnsi="Arial" w:cs="Arial"/>
          <w:sz w:val="24"/>
          <w:szCs w:val="24"/>
        </w:rPr>
        <w:t>CON 237 Simplified Acquisition Procedures</w:t>
      </w:r>
    </w:p>
    <w:p w:rsidR="00F43370" w:rsidRPr="006E15C4" w:rsidRDefault="00C0509A" w:rsidP="006E15C4">
      <w:pPr>
        <w:rPr>
          <w:rFonts w:ascii="Arial" w:eastAsia="Times New Roman" w:hAnsi="Arial" w:cs="Arial"/>
          <w:bCs/>
          <w:kern w:val="36"/>
          <w:sz w:val="24"/>
          <w:szCs w:val="24"/>
        </w:rPr>
      </w:pPr>
      <w:hyperlink r:id="rId21" w:tooltip="CON 237 Simplified Acquisition Procedures" w:history="1">
        <w:r w:rsidR="00F43370" w:rsidRPr="006E15C4">
          <w:rPr>
            <w:rStyle w:val="Hyperlink"/>
            <w:rFonts w:ascii="Arial" w:eastAsia="Times New Roman" w:hAnsi="Arial" w:cs="Arial"/>
            <w:bCs/>
            <w:kern w:val="36"/>
            <w:sz w:val="24"/>
            <w:szCs w:val="24"/>
          </w:rPr>
          <w:t>http://icatalog.dau.mil/online</w:t>
        </w:r>
        <w:r w:rsidR="00F43370" w:rsidRPr="006E15C4">
          <w:rPr>
            <w:rStyle w:val="Hyperlink"/>
            <w:rFonts w:ascii="Arial" w:eastAsia="Times New Roman" w:hAnsi="Arial" w:cs="Arial"/>
            <w:bCs/>
            <w:kern w:val="36"/>
            <w:sz w:val="24"/>
            <w:szCs w:val="24"/>
          </w:rPr>
          <w:t>c</w:t>
        </w:r>
        <w:r w:rsidR="00F43370" w:rsidRPr="006E15C4">
          <w:rPr>
            <w:rStyle w:val="Hyperlink"/>
            <w:rFonts w:ascii="Arial" w:eastAsia="Times New Roman" w:hAnsi="Arial" w:cs="Arial"/>
            <w:bCs/>
            <w:kern w:val="36"/>
            <w:sz w:val="24"/>
            <w:szCs w:val="24"/>
          </w:rPr>
          <w:t>atalog/courses.aspx?crs_id=32</w:t>
        </w:r>
      </w:hyperlink>
    </w:p>
    <w:p w:rsidR="00F43370" w:rsidRPr="006E15C4" w:rsidRDefault="00F43370" w:rsidP="006E15C4">
      <w:pPr>
        <w:rPr>
          <w:rFonts w:ascii="Arial" w:hAnsi="Arial" w:cs="Arial"/>
          <w:b/>
          <w:sz w:val="24"/>
          <w:szCs w:val="24"/>
        </w:rPr>
      </w:pPr>
      <w:r w:rsidRPr="006E15C4">
        <w:rPr>
          <w:rFonts w:ascii="Arial" w:hAnsi="Arial" w:cs="Arial"/>
          <w:sz w:val="24"/>
          <w:szCs w:val="24"/>
        </w:rPr>
        <w:t>Advanced Simplified Acquisition</w:t>
      </w:r>
    </w:p>
    <w:p w:rsidR="00F43370" w:rsidRPr="006E15C4" w:rsidRDefault="00C0509A" w:rsidP="006E15C4">
      <w:pPr>
        <w:rPr>
          <w:rFonts w:ascii="Arial" w:hAnsi="Arial" w:cs="Arial"/>
          <w:b/>
          <w:sz w:val="24"/>
          <w:szCs w:val="24"/>
        </w:rPr>
      </w:pPr>
      <w:hyperlink r:id="rId22" w:tooltip="Advanced Simplified Acquisition" w:history="1">
        <w:r w:rsidR="00F43370" w:rsidRPr="006E15C4">
          <w:rPr>
            <w:rStyle w:val="Hyperlink"/>
            <w:rFonts w:ascii="Arial" w:hAnsi="Arial" w:cs="Arial"/>
            <w:sz w:val="24"/>
            <w:szCs w:val="24"/>
          </w:rPr>
          <w:t>http://trainingcenter.nih.gov/show</w:t>
        </w:r>
        <w:r w:rsidR="00F43370" w:rsidRPr="006E15C4">
          <w:rPr>
            <w:rStyle w:val="Hyperlink"/>
            <w:rFonts w:ascii="Arial" w:hAnsi="Arial" w:cs="Arial"/>
            <w:sz w:val="24"/>
            <w:szCs w:val="24"/>
          </w:rPr>
          <w:t>_</w:t>
        </w:r>
        <w:r w:rsidR="00F43370" w:rsidRPr="006E15C4">
          <w:rPr>
            <w:rStyle w:val="Hyperlink"/>
            <w:rFonts w:ascii="Arial" w:hAnsi="Arial" w:cs="Arial"/>
            <w:sz w:val="24"/>
            <w:szCs w:val="24"/>
          </w:rPr>
          <w:t>details.aspx?cId=NIHTC9532</w:t>
        </w:r>
      </w:hyperlink>
    </w:p>
    <w:p w:rsidR="00F43370" w:rsidRPr="006E15C4" w:rsidRDefault="00F43370" w:rsidP="006E15C4">
      <w:pPr>
        <w:rPr>
          <w:rFonts w:ascii="Arial" w:hAnsi="Arial" w:cs="Arial"/>
          <w:b/>
          <w:sz w:val="24"/>
          <w:szCs w:val="24"/>
        </w:rPr>
      </w:pPr>
      <w:r w:rsidRPr="006E15C4">
        <w:rPr>
          <w:rFonts w:ascii="Arial" w:hAnsi="Arial" w:cs="Arial"/>
          <w:sz w:val="24"/>
          <w:szCs w:val="24"/>
        </w:rPr>
        <w:t>Basic Simplified Acquisition</w:t>
      </w:r>
    </w:p>
    <w:p w:rsidR="00F43370" w:rsidRPr="006E15C4" w:rsidRDefault="00C0509A" w:rsidP="006E15C4">
      <w:pPr>
        <w:rPr>
          <w:rFonts w:ascii="Arial" w:hAnsi="Arial" w:cs="Arial"/>
          <w:b/>
          <w:sz w:val="24"/>
          <w:szCs w:val="24"/>
        </w:rPr>
      </w:pPr>
      <w:hyperlink r:id="rId23" w:tooltip="Basic Simplified Acquisition" w:history="1">
        <w:r w:rsidR="00F43370" w:rsidRPr="006E15C4">
          <w:rPr>
            <w:rStyle w:val="Hyperlink"/>
            <w:rFonts w:ascii="Arial" w:hAnsi="Arial" w:cs="Arial"/>
            <w:sz w:val="24"/>
            <w:szCs w:val="24"/>
          </w:rPr>
          <w:t>http://trainingcenter.nih.gov/show_</w:t>
        </w:r>
        <w:r w:rsidR="00F43370" w:rsidRPr="006E15C4">
          <w:rPr>
            <w:rStyle w:val="Hyperlink"/>
            <w:rFonts w:ascii="Arial" w:hAnsi="Arial" w:cs="Arial"/>
            <w:sz w:val="24"/>
            <w:szCs w:val="24"/>
          </w:rPr>
          <w:t>d</w:t>
        </w:r>
        <w:r w:rsidR="00F43370" w:rsidRPr="006E15C4">
          <w:rPr>
            <w:rStyle w:val="Hyperlink"/>
            <w:rFonts w:ascii="Arial" w:hAnsi="Arial" w:cs="Arial"/>
            <w:sz w:val="24"/>
            <w:szCs w:val="24"/>
          </w:rPr>
          <w:t>etails.aspx?cId=NIHTC9530</w:t>
        </w:r>
      </w:hyperlink>
    </w:p>
    <w:p w:rsidR="00F43370" w:rsidRPr="006E15C4" w:rsidRDefault="00F43370" w:rsidP="006E15C4">
      <w:pPr>
        <w:rPr>
          <w:rFonts w:ascii="Arial" w:hAnsi="Arial" w:cs="Arial"/>
          <w:b/>
          <w:sz w:val="24"/>
          <w:szCs w:val="24"/>
        </w:rPr>
      </w:pPr>
      <w:r w:rsidRPr="006E15C4">
        <w:rPr>
          <w:rFonts w:ascii="Arial" w:hAnsi="Arial" w:cs="Arial"/>
          <w:sz w:val="24"/>
          <w:szCs w:val="24"/>
        </w:rPr>
        <w:t>Federal Appropriations Law</w:t>
      </w:r>
    </w:p>
    <w:p w:rsidR="00F43370" w:rsidRPr="006E15C4" w:rsidRDefault="00C0509A" w:rsidP="006E15C4">
      <w:pPr>
        <w:rPr>
          <w:rFonts w:ascii="Arial" w:hAnsi="Arial" w:cs="Arial"/>
          <w:b/>
          <w:sz w:val="24"/>
          <w:szCs w:val="24"/>
        </w:rPr>
      </w:pPr>
      <w:hyperlink r:id="rId24" w:tooltip="Federal Appropriations Law" w:history="1">
        <w:r w:rsidR="00F43370" w:rsidRPr="006E15C4">
          <w:rPr>
            <w:rStyle w:val="Hyperlink"/>
            <w:rFonts w:ascii="Arial" w:hAnsi="Arial" w:cs="Arial"/>
            <w:sz w:val="24"/>
            <w:szCs w:val="24"/>
          </w:rPr>
          <w:t>http://trainingcenter.nih.gov/s</w:t>
        </w:r>
        <w:r w:rsidR="00F43370" w:rsidRPr="006E15C4">
          <w:rPr>
            <w:rStyle w:val="Hyperlink"/>
            <w:rFonts w:ascii="Arial" w:hAnsi="Arial" w:cs="Arial"/>
            <w:sz w:val="24"/>
            <w:szCs w:val="24"/>
          </w:rPr>
          <w:t>h</w:t>
        </w:r>
        <w:r w:rsidR="00F43370" w:rsidRPr="006E15C4">
          <w:rPr>
            <w:rStyle w:val="Hyperlink"/>
            <w:rFonts w:ascii="Arial" w:hAnsi="Arial" w:cs="Arial"/>
            <w:sz w:val="24"/>
            <w:szCs w:val="24"/>
          </w:rPr>
          <w:t>ow_details.aspx?cId=NIHTC5521</w:t>
        </w:r>
      </w:hyperlink>
    </w:p>
    <w:p w:rsidR="00F43370" w:rsidRPr="006E15C4" w:rsidRDefault="00F43370" w:rsidP="006E15C4">
      <w:pPr>
        <w:rPr>
          <w:rFonts w:ascii="Arial" w:hAnsi="Arial" w:cs="Arial"/>
          <w:b/>
          <w:sz w:val="24"/>
          <w:szCs w:val="24"/>
        </w:rPr>
      </w:pPr>
      <w:r w:rsidRPr="006E15C4">
        <w:rPr>
          <w:rFonts w:ascii="Arial" w:hAnsi="Arial" w:cs="Arial"/>
          <w:sz w:val="24"/>
          <w:szCs w:val="24"/>
        </w:rPr>
        <w:t>HHS Appropriations Law</w:t>
      </w:r>
    </w:p>
    <w:p w:rsidR="00F43370" w:rsidRPr="006E15C4" w:rsidRDefault="00C0509A" w:rsidP="006E15C4">
      <w:pPr>
        <w:rPr>
          <w:rFonts w:ascii="Arial" w:hAnsi="Arial" w:cs="Arial"/>
          <w:b/>
          <w:sz w:val="24"/>
          <w:szCs w:val="24"/>
        </w:rPr>
      </w:pPr>
      <w:hyperlink r:id="rId25" w:anchor="after04182011" w:tooltip="HHS Appropriations Law" w:history="1">
        <w:r w:rsidR="00F43370" w:rsidRPr="006E15C4">
          <w:rPr>
            <w:rStyle w:val="Hyperlink"/>
            <w:rFonts w:ascii="Arial" w:hAnsi="Arial" w:cs="Arial"/>
            <w:sz w:val="24"/>
            <w:szCs w:val="24"/>
          </w:rPr>
          <w:t>http://hhsu.learning.hhs.go</w:t>
        </w:r>
        <w:r w:rsidR="00F43370" w:rsidRPr="006E15C4">
          <w:rPr>
            <w:rStyle w:val="Hyperlink"/>
            <w:rFonts w:ascii="Arial" w:hAnsi="Arial" w:cs="Arial"/>
            <w:sz w:val="24"/>
            <w:szCs w:val="24"/>
          </w:rPr>
          <w:t>v</w:t>
        </w:r>
        <w:r w:rsidR="00F43370" w:rsidRPr="006E15C4">
          <w:rPr>
            <w:rStyle w:val="Hyperlink"/>
            <w:rFonts w:ascii="Arial" w:hAnsi="Arial" w:cs="Arial"/>
            <w:sz w:val="24"/>
            <w:szCs w:val="24"/>
          </w:rPr>
          <w:t>/learning/faq.asp#after04182011</w:t>
        </w:r>
      </w:hyperlink>
    </w:p>
    <w:p w:rsidR="00F43370" w:rsidRPr="006E15C4" w:rsidRDefault="00F43370" w:rsidP="006E15C4">
      <w:pPr>
        <w:rPr>
          <w:rFonts w:ascii="Arial" w:hAnsi="Arial" w:cs="Arial"/>
          <w:b/>
          <w:sz w:val="24"/>
          <w:szCs w:val="24"/>
        </w:rPr>
      </w:pPr>
      <w:r w:rsidRPr="006E15C4">
        <w:rPr>
          <w:rFonts w:ascii="Arial" w:hAnsi="Arial" w:cs="Arial"/>
          <w:sz w:val="24"/>
          <w:szCs w:val="24"/>
        </w:rPr>
        <w:t>Internal &amp; External Requisitioner (NBS)</w:t>
      </w:r>
    </w:p>
    <w:p w:rsidR="00F43370" w:rsidRPr="006E15C4" w:rsidRDefault="00C0509A" w:rsidP="006E15C4">
      <w:pPr>
        <w:rPr>
          <w:rFonts w:ascii="Arial" w:hAnsi="Arial" w:cs="Arial"/>
          <w:b/>
          <w:sz w:val="24"/>
          <w:szCs w:val="24"/>
        </w:rPr>
      </w:pPr>
      <w:hyperlink r:id="rId26" w:tooltip="Internal &amp; External Requisitioner (NBS)" w:history="1">
        <w:r w:rsidR="00F43370" w:rsidRPr="006E15C4">
          <w:rPr>
            <w:rStyle w:val="Hyperlink"/>
            <w:rFonts w:ascii="Arial" w:hAnsi="Arial" w:cs="Arial"/>
            <w:sz w:val="24"/>
            <w:szCs w:val="24"/>
          </w:rPr>
          <w:t>http://trainingcenter.nih.gov</w:t>
        </w:r>
        <w:r w:rsidR="00F43370" w:rsidRPr="006E15C4">
          <w:rPr>
            <w:rStyle w:val="Hyperlink"/>
            <w:rFonts w:ascii="Arial" w:hAnsi="Arial" w:cs="Arial"/>
            <w:sz w:val="24"/>
            <w:szCs w:val="24"/>
          </w:rPr>
          <w:t>/</w:t>
        </w:r>
        <w:r w:rsidR="00F43370" w:rsidRPr="006E15C4">
          <w:rPr>
            <w:rStyle w:val="Hyperlink"/>
            <w:rFonts w:ascii="Arial" w:hAnsi="Arial" w:cs="Arial"/>
            <w:sz w:val="24"/>
            <w:szCs w:val="24"/>
          </w:rPr>
          <w:t>show_details.aspx?cId=NIHTC9516</w:t>
        </w:r>
      </w:hyperlink>
    </w:p>
    <w:p w:rsidR="00F43370" w:rsidRPr="006E15C4" w:rsidRDefault="00F43370" w:rsidP="006E15C4">
      <w:pPr>
        <w:rPr>
          <w:rFonts w:ascii="Arial" w:hAnsi="Arial" w:cs="Arial"/>
          <w:b/>
          <w:sz w:val="24"/>
          <w:szCs w:val="24"/>
        </w:rPr>
      </w:pPr>
      <w:r w:rsidRPr="006E15C4">
        <w:rPr>
          <w:rFonts w:ascii="Arial" w:hAnsi="Arial" w:cs="Arial"/>
          <w:sz w:val="24"/>
          <w:szCs w:val="24"/>
        </w:rPr>
        <w:t>Price Reasonableness in Simplified Acquisitions</w:t>
      </w:r>
    </w:p>
    <w:p w:rsidR="00F43370" w:rsidRPr="006E15C4" w:rsidRDefault="00C0509A" w:rsidP="006E15C4">
      <w:pPr>
        <w:rPr>
          <w:rFonts w:ascii="Arial" w:hAnsi="Arial" w:cs="Arial"/>
          <w:b/>
          <w:sz w:val="24"/>
          <w:szCs w:val="24"/>
        </w:rPr>
      </w:pPr>
      <w:hyperlink r:id="rId27" w:tooltip="Price Reasonableness in Simplified Acquisitions" w:history="1">
        <w:r w:rsidR="00F43370" w:rsidRPr="006E15C4">
          <w:rPr>
            <w:rStyle w:val="Hyperlink"/>
            <w:rFonts w:ascii="Arial" w:hAnsi="Arial" w:cs="Arial"/>
            <w:sz w:val="24"/>
            <w:szCs w:val="24"/>
          </w:rPr>
          <w:t>http://trainingcenter.nih.go</w:t>
        </w:r>
        <w:r w:rsidR="00F43370" w:rsidRPr="006E15C4">
          <w:rPr>
            <w:rStyle w:val="Hyperlink"/>
            <w:rFonts w:ascii="Arial" w:hAnsi="Arial" w:cs="Arial"/>
            <w:sz w:val="24"/>
            <w:szCs w:val="24"/>
          </w:rPr>
          <w:t>v</w:t>
        </w:r>
        <w:r w:rsidR="00F43370" w:rsidRPr="006E15C4">
          <w:rPr>
            <w:rStyle w:val="Hyperlink"/>
            <w:rFonts w:ascii="Arial" w:hAnsi="Arial" w:cs="Arial"/>
            <w:sz w:val="24"/>
            <w:szCs w:val="24"/>
          </w:rPr>
          <w:t>/show_details.aspx?cId=NIHTC2617</w:t>
        </w:r>
      </w:hyperlink>
    </w:p>
    <w:p w:rsidR="00F43370" w:rsidRPr="006E15C4" w:rsidRDefault="00F43370" w:rsidP="006E15C4">
      <w:pPr>
        <w:rPr>
          <w:rFonts w:ascii="Arial" w:hAnsi="Arial" w:cs="Arial"/>
          <w:sz w:val="24"/>
          <w:szCs w:val="24"/>
        </w:rPr>
      </w:pPr>
      <w:r w:rsidRPr="006E15C4">
        <w:rPr>
          <w:rFonts w:ascii="Arial" w:hAnsi="Arial" w:cs="Arial"/>
          <w:sz w:val="24"/>
          <w:szCs w:val="24"/>
        </w:rPr>
        <w:t>Professional Services</w:t>
      </w:r>
    </w:p>
    <w:p w:rsidR="00F43370" w:rsidRPr="006E15C4" w:rsidRDefault="00C0509A" w:rsidP="006E15C4">
      <w:pPr>
        <w:rPr>
          <w:rFonts w:ascii="Arial" w:hAnsi="Arial" w:cs="Arial"/>
          <w:sz w:val="24"/>
          <w:szCs w:val="24"/>
        </w:rPr>
      </w:pPr>
      <w:hyperlink r:id="rId28" w:tooltip="Professional Services" w:history="1">
        <w:r w:rsidR="00F43370" w:rsidRPr="006E15C4">
          <w:rPr>
            <w:rStyle w:val="Hyperlink"/>
            <w:rFonts w:ascii="Arial" w:hAnsi="Arial" w:cs="Arial"/>
            <w:sz w:val="24"/>
            <w:szCs w:val="24"/>
          </w:rPr>
          <w:t>http://trainingcenter.nih.g</w:t>
        </w:r>
        <w:r w:rsidR="00F43370" w:rsidRPr="006E15C4">
          <w:rPr>
            <w:rStyle w:val="Hyperlink"/>
            <w:rFonts w:ascii="Arial" w:hAnsi="Arial" w:cs="Arial"/>
            <w:sz w:val="24"/>
            <w:szCs w:val="24"/>
          </w:rPr>
          <w:t>o</w:t>
        </w:r>
        <w:r w:rsidR="00F43370" w:rsidRPr="006E15C4">
          <w:rPr>
            <w:rStyle w:val="Hyperlink"/>
            <w:rFonts w:ascii="Arial" w:hAnsi="Arial" w:cs="Arial"/>
            <w:sz w:val="24"/>
            <w:szCs w:val="24"/>
          </w:rPr>
          <w:t>v/show_details.aspx?cId=NIHTC5512</w:t>
        </w:r>
      </w:hyperlink>
    </w:p>
    <w:p w:rsidR="00F43370" w:rsidRPr="006E15C4" w:rsidRDefault="00F43370" w:rsidP="006E15C4">
      <w:pPr>
        <w:rPr>
          <w:rFonts w:ascii="Arial" w:hAnsi="Arial" w:cs="Arial"/>
          <w:sz w:val="24"/>
          <w:szCs w:val="24"/>
        </w:rPr>
      </w:pPr>
      <w:r w:rsidRPr="006E15C4">
        <w:rPr>
          <w:rFonts w:ascii="Arial" w:hAnsi="Arial" w:cs="Arial"/>
          <w:sz w:val="24"/>
          <w:szCs w:val="24"/>
        </w:rPr>
        <w:t>Purchase Card Training (NBS)</w:t>
      </w:r>
    </w:p>
    <w:p w:rsidR="00F43370" w:rsidRPr="006E15C4" w:rsidRDefault="00C0509A" w:rsidP="006E15C4">
      <w:pPr>
        <w:rPr>
          <w:rFonts w:ascii="Arial" w:hAnsi="Arial" w:cs="Arial"/>
          <w:sz w:val="24"/>
          <w:szCs w:val="24"/>
        </w:rPr>
      </w:pPr>
      <w:hyperlink r:id="rId29" w:tooltip="Purchase Card Training (NBS)" w:history="1">
        <w:r w:rsidR="00F43370" w:rsidRPr="006E15C4">
          <w:rPr>
            <w:rStyle w:val="Hyperlink"/>
            <w:rFonts w:ascii="Arial" w:hAnsi="Arial" w:cs="Arial"/>
            <w:sz w:val="24"/>
            <w:szCs w:val="24"/>
          </w:rPr>
          <w:t>http://trainingcenter.nih.gov/s</w:t>
        </w:r>
        <w:r w:rsidR="00F43370" w:rsidRPr="006E15C4">
          <w:rPr>
            <w:rStyle w:val="Hyperlink"/>
            <w:rFonts w:ascii="Arial" w:hAnsi="Arial" w:cs="Arial"/>
            <w:sz w:val="24"/>
            <w:szCs w:val="24"/>
          </w:rPr>
          <w:t>h</w:t>
        </w:r>
        <w:r w:rsidR="00F43370" w:rsidRPr="006E15C4">
          <w:rPr>
            <w:rStyle w:val="Hyperlink"/>
            <w:rFonts w:ascii="Arial" w:hAnsi="Arial" w:cs="Arial"/>
            <w:sz w:val="24"/>
            <w:szCs w:val="24"/>
          </w:rPr>
          <w:t>ow_details.aspx?cId=NIHTC9512</w:t>
        </w:r>
      </w:hyperlink>
    </w:p>
    <w:p w:rsidR="00F43370" w:rsidRPr="006E15C4" w:rsidRDefault="00F43370" w:rsidP="006E15C4">
      <w:pPr>
        <w:rPr>
          <w:rFonts w:ascii="Arial" w:hAnsi="Arial" w:cs="Arial"/>
          <w:sz w:val="24"/>
          <w:szCs w:val="24"/>
        </w:rPr>
      </w:pPr>
      <w:r w:rsidRPr="006E15C4">
        <w:rPr>
          <w:rFonts w:ascii="Arial" w:hAnsi="Arial" w:cs="Arial"/>
          <w:sz w:val="24"/>
          <w:szCs w:val="24"/>
        </w:rPr>
        <w:lastRenderedPageBreak/>
        <w:t>Negotiation Strategies for Simplified Acquisitions</w:t>
      </w:r>
    </w:p>
    <w:p w:rsidR="00F43370" w:rsidRPr="006E15C4" w:rsidRDefault="00C0509A" w:rsidP="006E15C4">
      <w:pPr>
        <w:rPr>
          <w:rFonts w:ascii="Arial" w:hAnsi="Arial" w:cs="Arial"/>
          <w:sz w:val="24"/>
          <w:szCs w:val="24"/>
        </w:rPr>
      </w:pPr>
      <w:hyperlink r:id="rId30" w:tooltip="Negotiation Strategies for Simplified Acquisitions" w:history="1">
        <w:r w:rsidR="00F43370" w:rsidRPr="006E15C4">
          <w:rPr>
            <w:rStyle w:val="Hyperlink"/>
            <w:rFonts w:ascii="Arial" w:hAnsi="Arial" w:cs="Arial"/>
            <w:sz w:val="24"/>
            <w:szCs w:val="24"/>
          </w:rPr>
          <w:t>http://trainingcenter.nih.gov/sh</w:t>
        </w:r>
        <w:r w:rsidR="00F43370" w:rsidRPr="006E15C4">
          <w:rPr>
            <w:rStyle w:val="Hyperlink"/>
            <w:rFonts w:ascii="Arial" w:hAnsi="Arial" w:cs="Arial"/>
            <w:sz w:val="24"/>
            <w:szCs w:val="24"/>
          </w:rPr>
          <w:t>o</w:t>
        </w:r>
        <w:r w:rsidR="00F43370" w:rsidRPr="006E15C4">
          <w:rPr>
            <w:rStyle w:val="Hyperlink"/>
            <w:rFonts w:ascii="Arial" w:hAnsi="Arial" w:cs="Arial"/>
            <w:sz w:val="24"/>
            <w:szCs w:val="24"/>
          </w:rPr>
          <w:t>w_details.aspx?cId=NIHTC5513</w:t>
        </w:r>
      </w:hyperlink>
    </w:p>
    <w:p w:rsidR="00F43370" w:rsidRPr="006E15C4" w:rsidRDefault="00F43370" w:rsidP="006E15C4">
      <w:pPr>
        <w:rPr>
          <w:rFonts w:ascii="Arial" w:hAnsi="Arial" w:cs="Arial"/>
          <w:sz w:val="24"/>
          <w:szCs w:val="24"/>
        </w:rPr>
      </w:pPr>
      <w:r w:rsidRPr="006E15C4">
        <w:rPr>
          <w:rFonts w:ascii="Arial" w:hAnsi="Arial" w:cs="Arial"/>
          <w:sz w:val="24"/>
          <w:szCs w:val="24"/>
        </w:rPr>
        <w:t>NBS PCard Logs &amp; Reconciliation (Refresher)</w:t>
      </w:r>
    </w:p>
    <w:p w:rsidR="00F43370" w:rsidRPr="006E15C4" w:rsidRDefault="00C0509A" w:rsidP="006E15C4">
      <w:pPr>
        <w:rPr>
          <w:rFonts w:ascii="Arial" w:hAnsi="Arial" w:cs="Arial"/>
          <w:sz w:val="24"/>
          <w:szCs w:val="24"/>
        </w:rPr>
      </w:pPr>
      <w:hyperlink r:id="rId31" w:tooltip="NBS PCard Logs &amp; Reconciliation (Refresher)" w:history="1">
        <w:r w:rsidR="00F43370" w:rsidRPr="006E15C4">
          <w:rPr>
            <w:rStyle w:val="Hyperlink"/>
            <w:rFonts w:ascii="Arial" w:hAnsi="Arial" w:cs="Arial"/>
            <w:sz w:val="24"/>
            <w:szCs w:val="24"/>
          </w:rPr>
          <w:t>http://trainingcenter.nih.gov/show</w:t>
        </w:r>
        <w:r w:rsidR="00F43370" w:rsidRPr="006E15C4">
          <w:rPr>
            <w:rStyle w:val="Hyperlink"/>
            <w:rFonts w:ascii="Arial" w:hAnsi="Arial" w:cs="Arial"/>
            <w:sz w:val="24"/>
            <w:szCs w:val="24"/>
          </w:rPr>
          <w:t>_</w:t>
        </w:r>
        <w:r w:rsidR="00F43370" w:rsidRPr="006E15C4">
          <w:rPr>
            <w:rStyle w:val="Hyperlink"/>
            <w:rFonts w:ascii="Arial" w:hAnsi="Arial" w:cs="Arial"/>
            <w:sz w:val="24"/>
            <w:szCs w:val="24"/>
          </w:rPr>
          <w:t>details.aspx?cId=NIHTC2635</w:t>
        </w:r>
      </w:hyperlink>
    </w:p>
    <w:p w:rsidR="00F43370" w:rsidRPr="006E15C4" w:rsidRDefault="0078307F" w:rsidP="006E15C4">
      <w:pPr>
        <w:rPr>
          <w:rFonts w:ascii="Arial" w:hAnsi="Arial" w:cs="Arial"/>
          <w:sz w:val="24"/>
          <w:szCs w:val="24"/>
        </w:rPr>
      </w:pPr>
      <w:r w:rsidRPr="006E15C4">
        <w:rPr>
          <w:rFonts w:ascii="Arial" w:hAnsi="Arial" w:cs="Arial"/>
          <w:sz w:val="24"/>
          <w:szCs w:val="24"/>
        </w:rPr>
        <w:t xml:space="preserve">Simplified Acquisition </w:t>
      </w:r>
      <w:r w:rsidR="00F43370" w:rsidRPr="006E15C4">
        <w:rPr>
          <w:rFonts w:ascii="Arial" w:hAnsi="Arial" w:cs="Arial"/>
          <w:sz w:val="24"/>
          <w:szCs w:val="24"/>
        </w:rPr>
        <w:t>&amp; Delegated Procurement (NBS)</w:t>
      </w:r>
    </w:p>
    <w:p w:rsidR="00F43370" w:rsidRPr="006E15C4" w:rsidRDefault="00C0509A" w:rsidP="006E15C4">
      <w:pPr>
        <w:rPr>
          <w:rFonts w:ascii="Arial" w:hAnsi="Arial" w:cs="Arial"/>
          <w:sz w:val="24"/>
          <w:szCs w:val="24"/>
        </w:rPr>
      </w:pPr>
      <w:hyperlink r:id="rId32" w:tooltip="Simplified Acquisition &amp; Delegated Procurement (NBS)" w:history="1">
        <w:r w:rsidR="00F43370" w:rsidRPr="006E15C4">
          <w:rPr>
            <w:rStyle w:val="Hyperlink"/>
            <w:rFonts w:ascii="Arial" w:hAnsi="Arial" w:cs="Arial"/>
            <w:sz w:val="24"/>
            <w:szCs w:val="24"/>
          </w:rPr>
          <w:t>http://trainingcenter.nih.gov/sh</w:t>
        </w:r>
        <w:r w:rsidR="00F43370" w:rsidRPr="006E15C4">
          <w:rPr>
            <w:rStyle w:val="Hyperlink"/>
            <w:rFonts w:ascii="Arial" w:hAnsi="Arial" w:cs="Arial"/>
            <w:sz w:val="24"/>
            <w:szCs w:val="24"/>
          </w:rPr>
          <w:t>o</w:t>
        </w:r>
        <w:r w:rsidR="00F43370" w:rsidRPr="006E15C4">
          <w:rPr>
            <w:rStyle w:val="Hyperlink"/>
            <w:rFonts w:ascii="Arial" w:hAnsi="Arial" w:cs="Arial"/>
            <w:sz w:val="24"/>
            <w:szCs w:val="24"/>
          </w:rPr>
          <w:t>w_details.aspx?cId=NIHTC9513</w:t>
        </w:r>
      </w:hyperlink>
    </w:p>
    <w:p w:rsidR="00F43370" w:rsidRDefault="00F43370" w:rsidP="006E15C4">
      <w:pPr>
        <w:rPr>
          <w:rFonts w:ascii="Arial" w:hAnsi="Arial" w:cs="Arial"/>
          <w:sz w:val="24"/>
          <w:szCs w:val="24"/>
        </w:rPr>
      </w:pPr>
      <w:r w:rsidRPr="006E15C4">
        <w:rPr>
          <w:rFonts w:ascii="Arial" w:hAnsi="Arial" w:cs="Arial"/>
          <w:sz w:val="24"/>
          <w:szCs w:val="24"/>
        </w:rPr>
        <w:t>AT100 - Section 508 Electronic &amp; IT Training - Phase II</w:t>
      </w:r>
    </w:p>
    <w:p w:rsidR="00275EF0" w:rsidRPr="006E15C4" w:rsidRDefault="00C0509A" w:rsidP="006E15C4">
      <w:pPr>
        <w:rPr>
          <w:rFonts w:ascii="Arial" w:hAnsi="Arial" w:cs="Arial"/>
          <w:sz w:val="24"/>
          <w:szCs w:val="24"/>
        </w:rPr>
      </w:pPr>
      <w:hyperlink r:id="rId33" w:tooltip="AT100 - Section 508 Electronic &amp; IT Training - Phase II" w:history="1">
        <w:r w:rsidR="00275EF0" w:rsidRPr="0006470D">
          <w:rPr>
            <w:rStyle w:val="Hyperlink"/>
            <w:rFonts w:ascii="Arial" w:hAnsi="Arial" w:cs="Arial"/>
            <w:sz w:val="24"/>
            <w:szCs w:val="24"/>
          </w:rPr>
          <w:t>http://training.cit.nih.gov/c</w:t>
        </w:r>
        <w:r w:rsidR="00275EF0" w:rsidRPr="0006470D">
          <w:rPr>
            <w:rStyle w:val="Hyperlink"/>
            <w:rFonts w:ascii="Arial" w:hAnsi="Arial" w:cs="Arial"/>
            <w:sz w:val="24"/>
            <w:szCs w:val="24"/>
          </w:rPr>
          <w:t>l</w:t>
        </w:r>
        <w:r w:rsidR="00275EF0" w:rsidRPr="0006470D">
          <w:rPr>
            <w:rStyle w:val="Hyperlink"/>
            <w:rFonts w:ascii="Arial" w:hAnsi="Arial" w:cs="Arial"/>
            <w:sz w:val="24"/>
            <w:szCs w:val="24"/>
          </w:rPr>
          <w:t>as</w:t>
        </w:r>
        <w:r w:rsidR="00275EF0" w:rsidRPr="0006470D">
          <w:rPr>
            <w:rStyle w:val="Hyperlink"/>
            <w:rFonts w:ascii="Arial" w:hAnsi="Arial" w:cs="Arial"/>
            <w:sz w:val="24"/>
            <w:szCs w:val="24"/>
          </w:rPr>
          <w:t>s</w:t>
        </w:r>
        <w:r w:rsidR="00275EF0" w:rsidRPr="0006470D">
          <w:rPr>
            <w:rStyle w:val="Hyperlink"/>
            <w:rFonts w:ascii="Arial" w:hAnsi="Arial" w:cs="Arial"/>
            <w:sz w:val="24"/>
            <w:szCs w:val="24"/>
          </w:rPr>
          <w:t>_d</w:t>
        </w:r>
        <w:r w:rsidR="00275EF0" w:rsidRPr="0006470D">
          <w:rPr>
            <w:rStyle w:val="Hyperlink"/>
            <w:rFonts w:ascii="Arial" w:hAnsi="Arial" w:cs="Arial"/>
            <w:sz w:val="24"/>
            <w:szCs w:val="24"/>
          </w:rPr>
          <w:t>e</w:t>
        </w:r>
        <w:r w:rsidR="00275EF0" w:rsidRPr="0006470D">
          <w:rPr>
            <w:rStyle w:val="Hyperlink"/>
            <w:rFonts w:ascii="Arial" w:hAnsi="Arial" w:cs="Arial"/>
            <w:sz w:val="24"/>
            <w:szCs w:val="24"/>
          </w:rPr>
          <w:t>tails.aspx?cId=NIHCIT-AT100</w:t>
        </w:r>
      </w:hyperlink>
      <w:r w:rsidR="00275EF0">
        <w:rPr>
          <w:rFonts w:ascii="Arial" w:hAnsi="Arial" w:cs="Arial"/>
          <w:sz w:val="24"/>
          <w:szCs w:val="24"/>
        </w:rPr>
        <w:t xml:space="preserve"> </w:t>
      </w:r>
    </w:p>
    <w:p w:rsidR="00F43370" w:rsidRPr="006E15C4" w:rsidRDefault="00F43370" w:rsidP="006E15C4">
      <w:pPr>
        <w:rPr>
          <w:rFonts w:ascii="Arial" w:hAnsi="Arial" w:cs="Arial"/>
          <w:sz w:val="24"/>
          <w:szCs w:val="24"/>
        </w:rPr>
      </w:pPr>
      <w:r w:rsidRPr="006E15C4">
        <w:rPr>
          <w:rFonts w:ascii="Arial" w:hAnsi="Arial" w:cs="Arial"/>
          <w:sz w:val="24"/>
          <w:szCs w:val="24"/>
        </w:rPr>
        <w:t>AT110 - Creating 508 Compliant Word 2007 Documents</w:t>
      </w:r>
    </w:p>
    <w:p w:rsidR="00275EF0" w:rsidRPr="0060514C" w:rsidRDefault="0060514C" w:rsidP="006E15C4">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"http://training.cit.nih.gov/class_details.aspx?cId=NIHCIT-AT110" \o "AT110- Creating 508 Compliant Word 2007 Documents"</w:instrText>
      </w:r>
      <w:r>
        <w:rPr>
          <w:rFonts w:ascii="Arial" w:hAnsi="Arial" w:cs="Arial"/>
          <w:sz w:val="24"/>
          <w:szCs w:val="24"/>
        </w:rPr>
      </w:r>
      <w:r>
        <w:rPr>
          <w:rFonts w:ascii="Arial" w:hAnsi="Arial" w:cs="Arial"/>
          <w:sz w:val="24"/>
          <w:szCs w:val="24"/>
        </w:rPr>
        <w:fldChar w:fldCharType="separate"/>
      </w:r>
      <w:r w:rsidR="00275EF0" w:rsidRPr="0060514C">
        <w:rPr>
          <w:rStyle w:val="Hyperlink"/>
          <w:rFonts w:ascii="Arial" w:hAnsi="Arial" w:cs="Arial"/>
          <w:sz w:val="24"/>
          <w:szCs w:val="24"/>
        </w:rPr>
        <w:t>http://training.cit.nih.gov/clas</w:t>
      </w:r>
      <w:r w:rsidR="00275EF0" w:rsidRPr="0060514C">
        <w:rPr>
          <w:rStyle w:val="Hyperlink"/>
          <w:rFonts w:ascii="Arial" w:hAnsi="Arial" w:cs="Arial"/>
          <w:sz w:val="24"/>
          <w:szCs w:val="24"/>
        </w:rPr>
        <w:t>s</w:t>
      </w:r>
      <w:r w:rsidR="00275EF0" w:rsidRPr="0060514C">
        <w:rPr>
          <w:rStyle w:val="Hyperlink"/>
          <w:rFonts w:ascii="Arial" w:hAnsi="Arial" w:cs="Arial"/>
          <w:sz w:val="24"/>
          <w:szCs w:val="24"/>
        </w:rPr>
        <w:t>_det</w:t>
      </w:r>
      <w:r w:rsidR="00275EF0" w:rsidRPr="0060514C">
        <w:rPr>
          <w:rStyle w:val="Hyperlink"/>
          <w:rFonts w:ascii="Arial" w:hAnsi="Arial" w:cs="Arial"/>
          <w:sz w:val="24"/>
          <w:szCs w:val="24"/>
        </w:rPr>
        <w:t>a</w:t>
      </w:r>
      <w:r w:rsidR="00275EF0" w:rsidRPr="0060514C">
        <w:rPr>
          <w:rStyle w:val="Hyperlink"/>
          <w:rFonts w:ascii="Arial" w:hAnsi="Arial" w:cs="Arial"/>
          <w:sz w:val="24"/>
          <w:szCs w:val="24"/>
        </w:rPr>
        <w:t xml:space="preserve">ils.aspx?cId=NIHCIT-AT110 </w:t>
      </w:r>
    </w:p>
    <w:p w:rsidR="00F43370" w:rsidRDefault="0060514C" w:rsidP="006E15C4">
      <w:pPr>
        <w:rPr>
          <w:rFonts w:ascii="Arial" w:hAnsi="Arial" w:cs="Arial"/>
          <w:sz w:val="24"/>
          <w:szCs w:val="24"/>
        </w:rPr>
      </w:pPr>
      <w:r>
        <w:rPr>
          <w:rFonts w:ascii="Arial" w:hAnsi="Arial" w:cs="Arial"/>
          <w:sz w:val="24"/>
          <w:szCs w:val="24"/>
        </w:rPr>
        <w:fldChar w:fldCharType="end"/>
      </w:r>
      <w:r w:rsidR="00F43370" w:rsidRPr="006E15C4">
        <w:rPr>
          <w:rFonts w:ascii="Arial" w:hAnsi="Arial" w:cs="Arial"/>
          <w:sz w:val="24"/>
          <w:szCs w:val="24"/>
        </w:rPr>
        <w:t>AT120 - Creating 508 Compliant PowerPoint 2007 Presentations</w:t>
      </w:r>
    </w:p>
    <w:p w:rsidR="00F43370" w:rsidRPr="006E15C4" w:rsidRDefault="00C0509A" w:rsidP="00275EF0">
      <w:pPr>
        <w:rPr>
          <w:rFonts w:ascii="Arial" w:hAnsi="Arial" w:cs="Arial"/>
          <w:sz w:val="24"/>
          <w:szCs w:val="24"/>
        </w:rPr>
      </w:pPr>
      <w:hyperlink r:id="rId34" w:tooltip="AT120 - Creating 508 Compliant PowerPoint 2007 Presentations" w:history="1">
        <w:r w:rsidR="00275EF0" w:rsidRPr="0006470D">
          <w:rPr>
            <w:rStyle w:val="Hyperlink"/>
            <w:rFonts w:ascii="Arial" w:hAnsi="Arial" w:cs="Arial"/>
            <w:bCs/>
            <w:sz w:val="24"/>
            <w:szCs w:val="24"/>
          </w:rPr>
          <w:t>http://training.cit.nih.gov/cla</w:t>
        </w:r>
        <w:r w:rsidR="00275EF0" w:rsidRPr="0006470D">
          <w:rPr>
            <w:rStyle w:val="Hyperlink"/>
            <w:rFonts w:ascii="Arial" w:hAnsi="Arial" w:cs="Arial"/>
            <w:bCs/>
            <w:sz w:val="24"/>
            <w:szCs w:val="24"/>
          </w:rPr>
          <w:t>s</w:t>
        </w:r>
        <w:r w:rsidR="00275EF0" w:rsidRPr="0006470D">
          <w:rPr>
            <w:rStyle w:val="Hyperlink"/>
            <w:rFonts w:ascii="Arial" w:hAnsi="Arial" w:cs="Arial"/>
            <w:bCs/>
            <w:sz w:val="24"/>
            <w:szCs w:val="24"/>
          </w:rPr>
          <w:t>s_details.aspx?cId=NIHCIT-AT120</w:t>
        </w:r>
      </w:hyperlink>
      <w:r w:rsidR="00275EF0">
        <w:rPr>
          <w:rFonts w:ascii="Arial" w:hAnsi="Arial" w:cs="Arial"/>
          <w:bCs/>
          <w:sz w:val="24"/>
          <w:szCs w:val="24"/>
        </w:rPr>
        <w:t xml:space="preserve"> </w:t>
      </w:r>
    </w:p>
    <w:p w:rsidR="00F43370" w:rsidRDefault="00F43370" w:rsidP="006E15C4">
      <w:pPr>
        <w:rPr>
          <w:rFonts w:ascii="Arial" w:hAnsi="Arial" w:cs="Arial"/>
          <w:sz w:val="24"/>
          <w:szCs w:val="24"/>
        </w:rPr>
      </w:pPr>
      <w:r w:rsidRPr="006E15C4">
        <w:rPr>
          <w:rFonts w:ascii="Arial" w:hAnsi="Arial" w:cs="Arial"/>
          <w:sz w:val="24"/>
          <w:szCs w:val="24"/>
        </w:rPr>
        <w:t>AT180 - Introduction to Making MS Office 2010 Documents 508 Compliant</w:t>
      </w:r>
    </w:p>
    <w:p w:rsidR="00275EF0" w:rsidRPr="006E15C4" w:rsidRDefault="00C0509A" w:rsidP="006E15C4">
      <w:pPr>
        <w:rPr>
          <w:rFonts w:ascii="Arial" w:hAnsi="Arial" w:cs="Arial"/>
          <w:sz w:val="24"/>
          <w:szCs w:val="24"/>
        </w:rPr>
      </w:pPr>
      <w:hyperlink r:id="rId35" w:tooltip="AT180 - Introduction to Making MS Office 2010 Documents 508 Compliant" w:history="1">
        <w:r w:rsidR="00275EF0" w:rsidRPr="0006470D">
          <w:rPr>
            <w:rStyle w:val="Hyperlink"/>
            <w:rFonts w:ascii="Arial" w:hAnsi="Arial" w:cs="Arial"/>
            <w:sz w:val="24"/>
            <w:szCs w:val="24"/>
          </w:rPr>
          <w:t>http://training.cit.nih.gov/class</w:t>
        </w:r>
        <w:r w:rsidR="00275EF0" w:rsidRPr="0006470D">
          <w:rPr>
            <w:rStyle w:val="Hyperlink"/>
            <w:rFonts w:ascii="Arial" w:hAnsi="Arial" w:cs="Arial"/>
            <w:sz w:val="24"/>
            <w:szCs w:val="24"/>
          </w:rPr>
          <w:t>_</w:t>
        </w:r>
        <w:r w:rsidR="00275EF0" w:rsidRPr="0006470D">
          <w:rPr>
            <w:rStyle w:val="Hyperlink"/>
            <w:rFonts w:ascii="Arial" w:hAnsi="Arial" w:cs="Arial"/>
            <w:sz w:val="24"/>
            <w:szCs w:val="24"/>
          </w:rPr>
          <w:t>details.aspx?cId=NIHCIT-AT180</w:t>
        </w:r>
      </w:hyperlink>
      <w:r w:rsidR="00275EF0">
        <w:rPr>
          <w:rFonts w:ascii="Arial" w:hAnsi="Arial" w:cs="Arial"/>
          <w:sz w:val="24"/>
          <w:szCs w:val="24"/>
        </w:rPr>
        <w:t xml:space="preserve"> </w:t>
      </w:r>
    </w:p>
    <w:p w:rsidR="00F43370" w:rsidRDefault="00F43370" w:rsidP="006E15C4">
      <w:pPr>
        <w:rPr>
          <w:rFonts w:ascii="Arial" w:hAnsi="Arial" w:cs="Arial"/>
          <w:sz w:val="24"/>
          <w:szCs w:val="24"/>
        </w:rPr>
      </w:pPr>
      <w:r w:rsidRPr="006E15C4">
        <w:rPr>
          <w:rFonts w:ascii="Arial" w:hAnsi="Arial" w:cs="Arial"/>
          <w:sz w:val="24"/>
          <w:szCs w:val="24"/>
        </w:rPr>
        <w:t>AT170 - Section 508 Training for Purchasing Agents: Purchases, VPATS &amp; POTS</w:t>
      </w:r>
    </w:p>
    <w:p w:rsidR="00275EF0" w:rsidRDefault="00C0509A" w:rsidP="006E15C4">
      <w:pPr>
        <w:rPr>
          <w:rFonts w:ascii="Arial" w:hAnsi="Arial" w:cs="Arial"/>
          <w:sz w:val="24"/>
          <w:szCs w:val="24"/>
        </w:rPr>
      </w:pPr>
      <w:hyperlink r:id="rId36" w:tooltip="AT170 - Section 508 Training for Purchasing Agents: Purchases, VPATS &amp; POTS" w:history="1">
        <w:r w:rsidR="00275EF0" w:rsidRPr="0006470D">
          <w:rPr>
            <w:rStyle w:val="Hyperlink"/>
            <w:rFonts w:ascii="Arial" w:hAnsi="Arial" w:cs="Arial"/>
            <w:sz w:val="24"/>
            <w:szCs w:val="24"/>
          </w:rPr>
          <w:t>http://training.cit.nih.gov/class_</w:t>
        </w:r>
        <w:r w:rsidR="00275EF0" w:rsidRPr="0006470D">
          <w:rPr>
            <w:rStyle w:val="Hyperlink"/>
            <w:rFonts w:ascii="Arial" w:hAnsi="Arial" w:cs="Arial"/>
            <w:sz w:val="24"/>
            <w:szCs w:val="24"/>
          </w:rPr>
          <w:t>d</w:t>
        </w:r>
        <w:r w:rsidR="00275EF0" w:rsidRPr="0006470D">
          <w:rPr>
            <w:rStyle w:val="Hyperlink"/>
            <w:rFonts w:ascii="Arial" w:hAnsi="Arial" w:cs="Arial"/>
            <w:sz w:val="24"/>
            <w:szCs w:val="24"/>
          </w:rPr>
          <w:t>etails.aspx?cId=NIHCIT-AT170</w:t>
        </w:r>
      </w:hyperlink>
      <w:r w:rsidR="00275EF0">
        <w:rPr>
          <w:rFonts w:ascii="Arial" w:hAnsi="Arial" w:cs="Arial"/>
          <w:sz w:val="24"/>
          <w:szCs w:val="24"/>
        </w:rPr>
        <w:t xml:space="preserve"> </w:t>
      </w:r>
    </w:p>
    <w:p w:rsidR="00275EF0" w:rsidRDefault="00275EF0" w:rsidP="00275EF0">
      <w:pPr>
        <w:rPr>
          <w:rFonts w:ascii="Arial" w:hAnsi="Arial" w:cs="Arial"/>
          <w:sz w:val="24"/>
          <w:szCs w:val="24"/>
        </w:rPr>
      </w:pPr>
      <w:r w:rsidRPr="006E15C4">
        <w:rPr>
          <w:rFonts w:ascii="Arial" w:hAnsi="Arial" w:cs="Arial"/>
          <w:sz w:val="24"/>
          <w:szCs w:val="24"/>
        </w:rPr>
        <w:t>AT17</w:t>
      </w:r>
      <w:r>
        <w:rPr>
          <w:rFonts w:ascii="Arial" w:hAnsi="Arial" w:cs="Arial"/>
          <w:sz w:val="24"/>
          <w:szCs w:val="24"/>
        </w:rPr>
        <w:t>1</w:t>
      </w:r>
      <w:r w:rsidRPr="006E15C4">
        <w:rPr>
          <w:rFonts w:ascii="Arial" w:hAnsi="Arial" w:cs="Arial"/>
          <w:sz w:val="24"/>
          <w:szCs w:val="24"/>
        </w:rPr>
        <w:t xml:space="preserve"> </w:t>
      </w:r>
      <w:r>
        <w:rPr>
          <w:rFonts w:ascii="Arial" w:hAnsi="Arial" w:cs="Arial"/>
          <w:sz w:val="24"/>
          <w:szCs w:val="24"/>
        </w:rPr>
        <w:t>–</w:t>
      </w:r>
      <w:r w:rsidRPr="006E15C4">
        <w:rPr>
          <w:rFonts w:ascii="Arial" w:hAnsi="Arial" w:cs="Arial"/>
          <w:sz w:val="24"/>
          <w:szCs w:val="24"/>
        </w:rPr>
        <w:t xml:space="preserve"> </w:t>
      </w:r>
      <w:r>
        <w:rPr>
          <w:rFonts w:ascii="Arial" w:hAnsi="Arial" w:cs="Arial"/>
          <w:sz w:val="24"/>
          <w:szCs w:val="24"/>
        </w:rPr>
        <w:t>Acquisition Process – Making Sure You Are in Compliance with Section 508</w:t>
      </w:r>
    </w:p>
    <w:p w:rsidR="005C1ADC" w:rsidRDefault="00C0509A" w:rsidP="00275EF0">
      <w:pPr>
        <w:rPr>
          <w:rFonts w:ascii="Arial" w:hAnsi="Arial" w:cs="Arial"/>
          <w:b/>
          <w:sz w:val="28"/>
          <w:szCs w:val="28"/>
        </w:rPr>
      </w:pPr>
      <w:hyperlink r:id="rId37" w:tooltip="AT171 - Acquisition Process - Making Sure You Are in Compliance with Section 508" w:history="1">
        <w:r w:rsidR="00275EF0" w:rsidRPr="0006470D">
          <w:rPr>
            <w:rStyle w:val="Hyperlink"/>
            <w:rFonts w:ascii="Arial" w:hAnsi="Arial" w:cs="Arial"/>
            <w:sz w:val="24"/>
            <w:szCs w:val="24"/>
          </w:rPr>
          <w:t>http://training.cit.nih.gov/cla</w:t>
        </w:r>
        <w:r w:rsidR="00275EF0" w:rsidRPr="0006470D">
          <w:rPr>
            <w:rStyle w:val="Hyperlink"/>
            <w:rFonts w:ascii="Arial" w:hAnsi="Arial" w:cs="Arial"/>
            <w:sz w:val="24"/>
            <w:szCs w:val="24"/>
          </w:rPr>
          <w:t>s</w:t>
        </w:r>
        <w:r w:rsidR="00275EF0" w:rsidRPr="0006470D">
          <w:rPr>
            <w:rStyle w:val="Hyperlink"/>
            <w:rFonts w:ascii="Arial" w:hAnsi="Arial" w:cs="Arial"/>
            <w:sz w:val="24"/>
            <w:szCs w:val="24"/>
          </w:rPr>
          <w:t>s_details.aspx?cId=NIHCIT-AT171</w:t>
        </w:r>
      </w:hyperlink>
      <w:r w:rsidR="00275EF0">
        <w:rPr>
          <w:rFonts w:ascii="Arial" w:hAnsi="Arial" w:cs="Arial"/>
          <w:sz w:val="24"/>
          <w:szCs w:val="24"/>
        </w:rPr>
        <w:t xml:space="preserve"> </w:t>
      </w:r>
    </w:p>
    <w:p w:rsidR="00FC66B4" w:rsidRPr="00FC66B4" w:rsidRDefault="00FC66B4" w:rsidP="00200C7A">
      <w:pPr>
        <w:pStyle w:val="Heading1"/>
      </w:pPr>
      <w:r w:rsidRPr="00FC66B4">
        <w:t>Green Purchasing Training</w:t>
      </w:r>
    </w:p>
    <w:p w:rsidR="00FC66B4" w:rsidRDefault="00FC66B4" w:rsidP="00765F38">
      <w:pPr>
        <w:spacing w:line="240" w:lineRule="auto"/>
        <w:rPr>
          <w:rFonts w:ascii="Arial" w:hAnsi="Arial" w:cs="Arial"/>
          <w:sz w:val="24"/>
          <w:szCs w:val="24"/>
        </w:rPr>
      </w:pPr>
      <w:r>
        <w:rPr>
          <w:rFonts w:ascii="Arial" w:hAnsi="Arial" w:cs="Arial"/>
          <w:sz w:val="24"/>
          <w:szCs w:val="24"/>
        </w:rPr>
        <w:t>As a reminder, per HHS policy, all contracting officers, contract specialists, purchase cardholders, c</w:t>
      </w:r>
      <w:r w:rsidR="00F43370">
        <w:rPr>
          <w:rFonts w:ascii="Arial" w:hAnsi="Arial" w:cs="Arial"/>
          <w:sz w:val="24"/>
          <w:szCs w:val="24"/>
        </w:rPr>
        <w:t xml:space="preserve">ard </w:t>
      </w:r>
      <w:r>
        <w:rPr>
          <w:rFonts w:ascii="Arial" w:hAnsi="Arial" w:cs="Arial"/>
          <w:sz w:val="24"/>
          <w:szCs w:val="24"/>
        </w:rPr>
        <w:t>approving officials, CORs and acquisition staff in job series 1102, 1105, and 1106 are required to take the Green Purchasing training every two calendar years.  The training includes online training modules for your convenience.</w:t>
      </w:r>
    </w:p>
    <w:p w:rsidR="00D61038" w:rsidRDefault="00D61038" w:rsidP="00200C7A">
      <w:pPr>
        <w:pStyle w:val="Heading1"/>
      </w:pPr>
    </w:p>
    <w:p w:rsidR="00D61038" w:rsidRDefault="00D61038" w:rsidP="00200C7A">
      <w:pPr>
        <w:pStyle w:val="Heading1"/>
      </w:pPr>
    </w:p>
    <w:p w:rsidR="00FC66B4" w:rsidRPr="00FC66B4" w:rsidRDefault="00FC66B4" w:rsidP="00200C7A">
      <w:pPr>
        <w:pStyle w:val="Heading1"/>
      </w:pPr>
      <w:r w:rsidRPr="00FC66B4">
        <w:t>NIH Blanket Purchase Agreement (BPA) Lists Available Online</w:t>
      </w:r>
    </w:p>
    <w:p w:rsidR="00FC66B4" w:rsidRPr="00FC66B4" w:rsidRDefault="00FC66B4" w:rsidP="00765F38">
      <w:pPr>
        <w:spacing w:line="240" w:lineRule="auto"/>
        <w:rPr>
          <w:rFonts w:ascii="Arial" w:hAnsi="Arial" w:cs="Arial"/>
          <w:sz w:val="24"/>
          <w:szCs w:val="24"/>
        </w:rPr>
      </w:pPr>
      <w:r w:rsidRPr="00FC66B4">
        <w:rPr>
          <w:rFonts w:ascii="Arial" w:hAnsi="Arial" w:cs="Arial"/>
          <w:sz w:val="24"/>
          <w:szCs w:val="24"/>
        </w:rPr>
        <w:t xml:space="preserve">Lists of all NIH Blanket Purchase Agreements (BPAs) can be found at the following URL:  </w:t>
      </w:r>
      <w:hyperlink r:id="rId38" w:tooltip="NIH Blanket Purchase Agreement (BPA) Lists Available Online" w:history="1">
        <w:r w:rsidRPr="00FC66B4">
          <w:rPr>
            <w:rStyle w:val="Hyperlink"/>
            <w:rFonts w:ascii="Arial" w:hAnsi="Arial" w:cs="Arial"/>
            <w:sz w:val="24"/>
            <w:szCs w:val="24"/>
          </w:rPr>
          <w:t>http://oamp.od.nih.gov/Di</w:t>
        </w:r>
        <w:r w:rsidRPr="00FC66B4">
          <w:rPr>
            <w:rStyle w:val="Hyperlink"/>
            <w:rFonts w:ascii="Arial" w:hAnsi="Arial" w:cs="Arial"/>
            <w:sz w:val="24"/>
            <w:szCs w:val="24"/>
          </w:rPr>
          <w:t>v</w:t>
        </w:r>
        <w:r w:rsidRPr="00FC66B4">
          <w:rPr>
            <w:rStyle w:val="Hyperlink"/>
            <w:rFonts w:ascii="Arial" w:hAnsi="Arial" w:cs="Arial"/>
            <w:sz w:val="24"/>
            <w:szCs w:val="24"/>
          </w:rPr>
          <w:t>ision/SAPS/Acq/PCard/BPAProgram.asp</w:t>
        </w:r>
      </w:hyperlink>
    </w:p>
    <w:p w:rsidR="00FC66B4" w:rsidRPr="00FC66B4" w:rsidRDefault="00FC66B4" w:rsidP="00765F38">
      <w:pPr>
        <w:spacing w:line="240" w:lineRule="auto"/>
        <w:rPr>
          <w:rFonts w:ascii="Arial" w:hAnsi="Arial" w:cs="Arial"/>
          <w:sz w:val="24"/>
          <w:szCs w:val="24"/>
        </w:rPr>
      </w:pPr>
      <w:r w:rsidRPr="00FC66B4">
        <w:rPr>
          <w:rFonts w:ascii="Arial" w:hAnsi="Arial" w:cs="Arial"/>
          <w:sz w:val="24"/>
          <w:szCs w:val="24"/>
        </w:rPr>
        <w:t>This location contains Three BPA Lists:</w:t>
      </w:r>
    </w:p>
    <w:p w:rsidR="00FC66B4" w:rsidRPr="00FC66B4" w:rsidRDefault="00FC66B4" w:rsidP="00FC66B4">
      <w:pPr>
        <w:pStyle w:val="ListParagraph"/>
        <w:numPr>
          <w:ilvl w:val="0"/>
          <w:numId w:val="7"/>
        </w:numPr>
        <w:rPr>
          <w:rFonts w:ascii="Arial" w:hAnsi="Arial" w:cs="Arial"/>
        </w:rPr>
      </w:pPr>
      <w:r w:rsidRPr="00FC66B4">
        <w:rPr>
          <w:rFonts w:ascii="Arial" w:hAnsi="Arial" w:cs="Arial"/>
        </w:rPr>
        <w:t>Complete vendor alphabetical list;</w:t>
      </w:r>
    </w:p>
    <w:p w:rsidR="00FC66B4" w:rsidRPr="00FC66B4" w:rsidRDefault="00FC66B4" w:rsidP="00FC66B4">
      <w:pPr>
        <w:pStyle w:val="ListParagraph"/>
        <w:numPr>
          <w:ilvl w:val="0"/>
          <w:numId w:val="7"/>
        </w:numPr>
        <w:rPr>
          <w:rFonts w:ascii="Arial" w:hAnsi="Arial" w:cs="Arial"/>
        </w:rPr>
      </w:pPr>
      <w:r w:rsidRPr="00FC66B4">
        <w:rPr>
          <w:rFonts w:ascii="Arial" w:hAnsi="Arial" w:cs="Arial"/>
        </w:rPr>
        <w:t>Vendor list sorted by commodity; and</w:t>
      </w:r>
    </w:p>
    <w:p w:rsidR="00FC66B4" w:rsidRPr="00FC66B4" w:rsidRDefault="00FC66B4" w:rsidP="00FC66B4">
      <w:pPr>
        <w:pStyle w:val="ListParagraph"/>
        <w:numPr>
          <w:ilvl w:val="0"/>
          <w:numId w:val="7"/>
        </w:numPr>
        <w:rPr>
          <w:rFonts w:ascii="Arial" w:hAnsi="Arial" w:cs="Arial"/>
        </w:rPr>
      </w:pPr>
      <w:r w:rsidRPr="00FC66B4">
        <w:rPr>
          <w:rFonts w:ascii="Arial" w:hAnsi="Arial" w:cs="Arial"/>
        </w:rPr>
        <w:t>A listing of the preferred HHS Strategic Sourcing Vendors</w:t>
      </w:r>
    </w:p>
    <w:p w:rsidR="00EC1A9F" w:rsidRDefault="00EC1A9F" w:rsidP="00200C7A">
      <w:pPr>
        <w:spacing w:after="480"/>
        <w:rPr>
          <w:rFonts w:ascii="Arial" w:hAnsi="Arial" w:cs="Arial"/>
          <w:sz w:val="24"/>
          <w:szCs w:val="24"/>
        </w:rPr>
      </w:pPr>
      <w:r w:rsidRPr="00FC66B4">
        <w:rPr>
          <w:rFonts w:ascii="Arial" w:hAnsi="Arial" w:cs="Arial"/>
          <w:sz w:val="24"/>
          <w:szCs w:val="24"/>
        </w:rPr>
        <w:t xml:space="preserve">If you have any questions or need further clarification, please contact the BPA helpline at 301-496-5212 or e-mail at </w:t>
      </w:r>
      <w:hyperlink r:id="rId39" w:history="1">
        <w:r w:rsidRPr="00FC66B4">
          <w:rPr>
            <w:rStyle w:val="Hyperlink"/>
            <w:rFonts w:ascii="Arial" w:hAnsi="Arial" w:cs="Arial"/>
            <w:sz w:val="24"/>
            <w:szCs w:val="24"/>
          </w:rPr>
          <w:t>BPAProgra</w:t>
        </w:r>
        <w:r w:rsidRPr="00FC66B4">
          <w:rPr>
            <w:rStyle w:val="Hyperlink"/>
            <w:rFonts w:ascii="Arial" w:hAnsi="Arial" w:cs="Arial"/>
            <w:sz w:val="24"/>
            <w:szCs w:val="24"/>
          </w:rPr>
          <w:t>m</w:t>
        </w:r>
        <w:r w:rsidRPr="00FC66B4">
          <w:rPr>
            <w:rStyle w:val="Hyperlink"/>
            <w:rFonts w:ascii="Arial" w:hAnsi="Arial" w:cs="Arial"/>
            <w:sz w:val="24"/>
            <w:szCs w:val="24"/>
          </w:rPr>
          <w:t>Branch@od.nih.gov</w:t>
        </w:r>
      </w:hyperlink>
    </w:p>
    <w:p w:rsidR="00FC66B4" w:rsidRPr="00C0509A" w:rsidRDefault="00FC66B4" w:rsidP="00200C7A">
      <w:pPr>
        <w:pStyle w:val="Subtitle"/>
        <w:spacing w:after="240"/>
        <w:rPr>
          <w:rStyle w:val="Emphasis"/>
        </w:rPr>
      </w:pPr>
      <w:r w:rsidRPr="00C0509A">
        <w:rPr>
          <w:rStyle w:val="Emphasis"/>
        </w:rPr>
        <w:t>We would like to thank all those who contributed to this</w:t>
      </w:r>
      <w:r w:rsidR="00BE1023" w:rsidRPr="00C0509A">
        <w:rPr>
          <w:rStyle w:val="Emphasis"/>
        </w:rPr>
        <w:t xml:space="preserve"> and future</w:t>
      </w:r>
      <w:r w:rsidRPr="00C0509A">
        <w:rPr>
          <w:rStyle w:val="Emphasis"/>
        </w:rPr>
        <w:t xml:space="preserve"> </w:t>
      </w:r>
      <w:r w:rsidR="00BE1023" w:rsidRPr="00C0509A">
        <w:rPr>
          <w:rStyle w:val="Emphasis"/>
        </w:rPr>
        <w:t xml:space="preserve">editions </w:t>
      </w:r>
      <w:r w:rsidRPr="00C0509A">
        <w:rPr>
          <w:rStyle w:val="Emphasis"/>
        </w:rPr>
        <w:t>of the OALM Newsletter.</w:t>
      </w:r>
    </w:p>
    <w:p w:rsidR="00ED33E2" w:rsidRPr="00EB4356" w:rsidRDefault="00ED33E2" w:rsidP="00765F38">
      <w:pPr>
        <w:spacing w:line="240" w:lineRule="auto"/>
        <w:rPr>
          <w:rFonts w:ascii="Arial" w:hAnsi="Arial" w:cs="Arial"/>
          <w:sz w:val="24"/>
          <w:szCs w:val="24"/>
        </w:rPr>
      </w:pPr>
      <w:r w:rsidRPr="00EB4356">
        <w:rPr>
          <w:rFonts w:ascii="Arial" w:hAnsi="Arial" w:cs="Arial"/>
          <w:sz w:val="24"/>
          <w:szCs w:val="24"/>
        </w:rPr>
        <w:t>The O</w:t>
      </w:r>
      <w:bookmarkStart w:id="0" w:name="_GoBack"/>
      <w:bookmarkEnd w:id="0"/>
      <w:r w:rsidRPr="00EB4356">
        <w:rPr>
          <w:rFonts w:ascii="Arial" w:hAnsi="Arial" w:cs="Arial"/>
          <w:sz w:val="24"/>
          <w:szCs w:val="24"/>
        </w:rPr>
        <w:t xml:space="preserve">ALM Newsletter </w:t>
      </w:r>
      <w:r w:rsidR="00BE1023">
        <w:rPr>
          <w:rFonts w:ascii="Arial" w:hAnsi="Arial" w:cs="Arial"/>
          <w:sz w:val="24"/>
          <w:szCs w:val="24"/>
        </w:rPr>
        <w:t xml:space="preserve">will be </w:t>
      </w:r>
      <w:r w:rsidR="00EB4356">
        <w:rPr>
          <w:rFonts w:ascii="Arial" w:hAnsi="Arial" w:cs="Arial"/>
          <w:sz w:val="24"/>
          <w:szCs w:val="24"/>
        </w:rPr>
        <w:t>published six (6) times in</w:t>
      </w:r>
      <w:r w:rsidR="00034776">
        <w:rPr>
          <w:rFonts w:ascii="Arial" w:hAnsi="Arial" w:cs="Arial"/>
          <w:sz w:val="24"/>
          <w:szCs w:val="24"/>
        </w:rPr>
        <w:t xml:space="preserve"> calendar year</w:t>
      </w:r>
      <w:r w:rsidR="00EB4356">
        <w:rPr>
          <w:rFonts w:ascii="Arial" w:hAnsi="Arial" w:cs="Arial"/>
          <w:sz w:val="24"/>
          <w:szCs w:val="24"/>
        </w:rPr>
        <w:t xml:space="preserve"> 201</w:t>
      </w:r>
      <w:r w:rsidR="00BE1023">
        <w:rPr>
          <w:rFonts w:ascii="Arial" w:hAnsi="Arial" w:cs="Arial"/>
          <w:sz w:val="24"/>
          <w:szCs w:val="24"/>
        </w:rPr>
        <w:t>3</w:t>
      </w:r>
      <w:r w:rsidR="00034776">
        <w:rPr>
          <w:rFonts w:ascii="Arial" w:hAnsi="Arial" w:cs="Arial"/>
          <w:sz w:val="24"/>
          <w:szCs w:val="24"/>
        </w:rPr>
        <w:t xml:space="preserve">.  </w:t>
      </w:r>
      <w:r w:rsidRPr="00EB4356">
        <w:rPr>
          <w:rFonts w:ascii="Arial" w:hAnsi="Arial" w:cs="Arial"/>
          <w:sz w:val="24"/>
          <w:szCs w:val="24"/>
        </w:rPr>
        <w:t xml:space="preserve">We encourage </w:t>
      </w:r>
      <w:r w:rsidR="00BE1023">
        <w:rPr>
          <w:rFonts w:ascii="Arial" w:hAnsi="Arial" w:cs="Arial"/>
          <w:sz w:val="24"/>
          <w:szCs w:val="24"/>
        </w:rPr>
        <w:t xml:space="preserve">all </w:t>
      </w:r>
      <w:r w:rsidRPr="00EB4356">
        <w:rPr>
          <w:rFonts w:ascii="Arial" w:hAnsi="Arial" w:cs="Arial"/>
          <w:sz w:val="24"/>
          <w:szCs w:val="24"/>
        </w:rPr>
        <w:t>staff to submit articles that would be of interest to our readers. We will do our best to include such articles in future editions of the OALM Newsletter.</w:t>
      </w:r>
    </w:p>
    <w:p w:rsidR="00BE1023" w:rsidRDefault="00ED33E2" w:rsidP="00765F38">
      <w:pPr>
        <w:spacing w:line="240" w:lineRule="auto"/>
        <w:rPr>
          <w:rFonts w:ascii="Arial" w:hAnsi="Arial" w:cs="Arial"/>
          <w:sz w:val="24"/>
          <w:szCs w:val="24"/>
        </w:rPr>
      </w:pPr>
      <w:r w:rsidRPr="00EB4356">
        <w:rPr>
          <w:rFonts w:ascii="Arial" w:hAnsi="Arial" w:cs="Arial"/>
          <w:sz w:val="24"/>
          <w:szCs w:val="24"/>
        </w:rPr>
        <w:t xml:space="preserve">Please address all correspondence to the editors: </w:t>
      </w:r>
      <w:r w:rsidR="00BE1023" w:rsidRPr="00EB4356">
        <w:rPr>
          <w:rFonts w:ascii="Arial" w:hAnsi="Arial" w:cs="Arial"/>
          <w:sz w:val="24"/>
          <w:szCs w:val="24"/>
        </w:rPr>
        <w:t xml:space="preserve">Michele McDermott, </w:t>
      </w:r>
      <w:hyperlink r:id="rId40" w:history="1">
        <w:r w:rsidR="00BE1023" w:rsidRPr="00D15867">
          <w:rPr>
            <w:rStyle w:val="Hyperlink"/>
            <w:rFonts w:ascii="Arial" w:hAnsi="Arial" w:cs="Arial"/>
            <w:sz w:val="24"/>
            <w:szCs w:val="24"/>
          </w:rPr>
          <w:t>McDermottMl@od.nih.gov</w:t>
        </w:r>
      </w:hyperlink>
      <w:r w:rsidR="00BE1023">
        <w:rPr>
          <w:rFonts w:ascii="Arial" w:hAnsi="Arial" w:cs="Arial"/>
          <w:sz w:val="24"/>
          <w:szCs w:val="24"/>
        </w:rPr>
        <w:t>, A</w:t>
      </w:r>
      <w:r w:rsidRPr="00EB4356">
        <w:rPr>
          <w:rFonts w:ascii="Arial" w:hAnsi="Arial" w:cs="Arial"/>
          <w:sz w:val="24"/>
          <w:szCs w:val="24"/>
        </w:rPr>
        <w:t xml:space="preserve">lfreda Mire, </w:t>
      </w:r>
      <w:hyperlink r:id="rId41" w:history="1">
        <w:r w:rsidRPr="00EB4356">
          <w:rPr>
            <w:rStyle w:val="Hyperlink"/>
            <w:rFonts w:ascii="Arial" w:hAnsi="Arial" w:cs="Arial"/>
            <w:sz w:val="24"/>
            <w:szCs w:val="24"/>
          </w:rPr>
          <w:t>MireA@od.nih.gov</w:t>
        </w:r>
      </w:hyperlink>
      <w:r w:rsidRPr="00EB4356">
        <w:rPr>
          <w:rFonts w:ascii="Arial" w:hAnsi="Arial" w:cs="Arial"/>
          <w:sz w:val="24"/>
          <w:szCs w:val="24"/>
        </w:rPr>
        <w:t xml:space="preserve">, </w:t>
      </w:r>
      <w:r w:rsidR="00EB4356" w:rsidRPr="00EB4356">
        <w:rPr>
          <w:rFonts w:ascii="Arial" w:hAnsi="Arial" w:cs="Arial"/>
          <w:sz w:val="24"/>
          <w:szCs w:val="24"/>
        </w:rPr>
        <w:t xml:space="preserve">Milton Nicholas, </w:t>
      </w:r>
      <w:hyperlink r:id="rId42" w:history="1">
        <w:r w:rsidR="00EB4356" w:rsidRPr="00EB4356">
          <w:rPr>
            <w:rStyle w:val="Hyperlink"/>
            <w:rFonts w:ascii="Arial" w:hAnsi="Arial" w:cs="Arial"/>
            <w:sz w:val="24"/>
            <w:szCs w:val="24"/>
          </w:rPr>
          <w:t>NicholaM@od.nih.gov</w:t>
        </w:r>
      </w:hyperlink>
      <w:r w:rsidR="00EB4356" w:rsidRPr="00EB4356">
        <w:rPr>
          <w:rFonts w:ascii="Arial" w:hAnsi="Arial" w:cs="Arial"/>
          <w:sz w:val="24"/>
          <w:szCs w:val="24"/>
        </w:rPr>
        <w:t xml:space="preserve">, Annette Romanesk, </w:t>
      </w:r>
      <w:hyperlink r:id="rId43" w:history="1">
        <w:r w:rsidR="00EB4356" w:rsidRPr="00EB4356">
          <w:rPr>
            <w:rStyle w:val="Hyperlink"/>
            <w:rFonts w:ascii="Arial" w:hAnsi="Arial" w:cs="Arial"/>
            <w:sz w:val="24"/>
            <w:szCs w:val="24"/>
          </w:rPr>
          <w:t>RomanesA@od.nih.gov</w:t>
        </w:r>
      </w:hyperlink>
      <w:r w:rsidR="00EB4356" w:rsidRPr="00EB4356">
        <w:rPr>
          <w:rFonts w:ascii="Arial" w:hAnsi="Arial" w:cs="Arial"/>
          <w:sz w:val="24"/>
          <w:szCs w:val="24"/>
        </w:rPr>
        <w:t xml:space="preserve">, or Barry Solomon, </w:t>
      </w:r>
      <w:hyperlink r:id="rId44" w:history="1">
        <w:r w:rsidR="00EB4356" w:rsidRPr="00EB4356">
          <w:rPr>
            <w:rStyle w:val="Hyperlink"/>
            <w:rFonts w:ascii="Arial" w:hAnsi="Arial" w:cs="Arial"/>
            <w:sz w:val="24"/>
            <w:szCs w:val="24"/>
          </w:rPr>
          <w:t>SolomonBJ@od.nih.gov</w:t>
        </w:r>
      </w:hyperlink>
      <w:r w:rsidR="00BE1023">
        <w:rPr>
          <w:rFonts w:ascii="Arial" w:hAnsi="Arial" w:cs="Arial"/>
          <w:sz w:val="24"/>
          <w:szCs w:val="24"/>
        </w:rPr>
        <w:t xml:space="preserve">.  </w:t>
      </w:r>
    </w:p>
    <w:p w:rsidR="00EB4356" w:rsidRPr="00765F38" w:rsidRDefault="00FD3199" w:rsidP="00765F38">
      <w:pPr>
        <w:spacing w:line="240" w:lineRule="auto"/>
        <w:rPr>
          <w:rFonts w:ascii="Arial" w:hAnsi="Arial" w:cs="Arial"/>
          <w:sz w:val="36"/>
          <w:szCs w:val="36"/>
        </w:rPr>
      </w:pPr>
      <w:r>
        <w:rPr>
          <w:rFonts w:ascii="Arial" w:hAnsi="Arial" w:cs="Arial"/>
          <w:sz w:val="24"/>
          <w:szCs w:val="24"/>
        </w:rPr>
        <w:t xml:space="preserve">If you have any questions or comments regarding the information, policy and/or procedures published in this issued, you may contact </w:t>
      </w:r>
      <w:r w:rsidR="00D61038">
        <w:rPr>
          <w:rFonts w:ascii="Arial" w:hAnsi="Arial" w:cs="Arial"/>
          <w:sz w:val="24"/>
          <w:szCs w:val="24"/>
        </w:rPr>
        <w:t>Barry Solomon</w:t>
      </w:r>
      <w:r>
        <w:rPr>
          <w:rFonts w:ascii="Arial" w:hAnsi="Arial" w:cs="Arial"/>
          <w:sz w:val="24"/>
          <w:szCs w:val="24"/>
        </w:rPr>
        <w:t xml:space="preserve"> at the e-mail address above.  For future issues please contact the Simplified Acquisitions Helpline on 301-496-0400 or via e-mail at </w:t>
      </w:r>
      <w:hyperlink r:id="rId45" w:history="1">
        <w:r w:rsidRPr="009E6653">
          <w:rPr>
            <w:rStyle w:val="Hyperlink"/>
            <w:rFonts w:ascii="Arial" w:hAnsi="Arial" w:cs="Arial"/>
            <w:sz w:val="24"/>
            <w:szCs w:val="24"/>
          </w:rPr>
          <w:t>SimplifiedAcquisitionHelp@od.nih.gov</w:t>
        </w:r>
      </w:hyperlink>
      <w:r>
        <w:rPr>
          <w:rFonts w:ascii="Arial" w:hAnsi="Arial" w:cs="Arial"/>
          <w:sz w:val="24"/>
          <w:szCs w:val="24"/>
        </w:rPr>
        <w:t xml:space="preserve"> and you will be refer</w:t>
      </w:r>
      <w:r w:rsidR="00584217">
        <w:rPr>
          <w:rFonts w:ascii="Arial" w:hAnsi="Arial" w:cs="Arial"/>
          <w:sz w:val="24"/>
          <w:szCs w:val="24"/>
        </w:rPr>
        <w:t xml:space="preserve">red to the appropriate editor. </w:t>
      </w:r>
    </w:p>
    <w:sectPr w:rsidR="00EB4356" w:rsidRPr="00765F38" w:rsidSect="00361C5A">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90" w:rsidRDefault="00BC0A90" w:rsidP="00B116DA">
      <w:pPr>
        <w:spacing w:after="0" w:line="240" w:lineRule="auto"/>
      </w:pPr>
      <w:r>
        <w:separator/>
      </w:r>
    </w:p>
  </w:endnote>
  <w:endnote w:type="continuationSeparator" w:id="0">
    <w:p w:rsidR="00BC0A90" w:rsidRDefault="00BC0A90" w:rsidP="00B1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6266"/>
      <w:docPartObj>
        <w:docPartGallery w:val="Page Numbers (Bottom of Page)"/>
        <w:docPartUnique/>
      </w:docPartObj>
    </w:sdtPr>
    <w:sdtEndPr/>
    <w:sdtContent>
      <w:p w:rsidR="00F43370" w:rsidRDefault="00970FCB">
        <w:pPr>
          <w:pStyle w:val="Footer"/>
          <w:jc w:val="right"/>
        </w:pPr>
        <w:r>
          <w:fldChar w:fldCharType="begin"/>
        </w:r>
        <w:r w:rsidR="00F43370">
          <w:instrText xml:space="preserve"> PAGE   \* MERGEFORMAT </w:instrText>
        </w:r>
        <w:r>
          <w:fldChar w:fldCharType="separate"/>
        </w:r>
        <w:r w:rsidR="00C0509A">
          <w:rPr>
            <w:noProof/>
          </w:rPr>
          <w:t>1</w:t>
        </w:r>
        <w:r>
          <w:rPr>
            <w:noProof/>
          </w:rPr>
          <w:fldChar w:fldCharType="end"/>
        </w:r>
      </w:p>
    </w:sdtContent>
  </w:sdt>
  <w:p w:rsidR="00F43370" w:rsidRDefault="00F4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90" w:rsidRDefault="00BC0A90" w:rsidP="00B116DA">
      <w:pPr>
        <w:spacing w:after="0" w:line="240" w:lineRule="auto"/>
      </w:pPr>
      <w:r>
        <w:separator/>
      </w:r>
    </w:p>
  </w:footnote>
  <w:footnote w:type="continuationSeparator" w:id="0">
    <w:p w:rsidR="00BC0A90" w:rsidRDefault="00BC0A90" w:rsidP="00B11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17" w:rsidRPr="00582B80" w:rsidRDefault="00584217" w:rsidP="00584217">
    <w:pPr>
      <w:pStyle w:val="ListParagraph"/>
      <w:ind w:left="0"/>
      <w:jc w:val="center"/>
      <w:rPr>
        <w:rFonts w:ascii="Arial" w:hAnsi="Arial" w:cs="Arial"/>
        <w:b/>
        <w:sz w:val="36"/>
        <w:szCs w:val="36"/>
      </w:rPr>
    </w:pPr>
    <w:r w:rsidRPr="00582B80">
      <w:rPr>
        <w:rFonts w:ascii="Arial" w:hAnsi="Arial" w:cs="Arial"/>
        <w:b/>
        <w:sz w:val="36"/>
        <w:szCs w:val="36"/>
      </w:rPr>
      <w:t>The Office of Acquisition and Logistics</w:t>
    </w:r>
  </w:p>
  <w:p w:rsidR="00584217" w:rsidRDefault="00584217" w:rsidP="00584217">
    <w:pPr>
      <w:pStyle w:val="Header"/>
      <w:jc w:val="center"/>
    </w:pPr>
    <w:r w:rsidRPr="00582B80">
      <w:rPr>
        <w:rFonts w:ascii="Arial" w:hAnsi="Arial" w:cs="Arial"/>
        <w:b/>
        <w:sz w:val="36"/>
        <w:szCs w:val="36"/>
      </w:rPr>
      <w:t>Management Newsletter</w:t>
    </w:r>
    <w:r w:rsidR="00D61038">
      <w:rPr>
        <w:rFonts w:ascii="Arial" w:hAnsi="Arial" w:cs="Arial"/>
        <w:b/>
        <w:sz w:val="36"/>
        <w:szCs w:val="36"/>
      </w:rPr>
      <w:t xml:space="preserve"> – January/February 2013</w:t>
    </w:r>
  </w:p>
  <w:p w:rsidR="00584217" w:rsidRDefault="00584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89B"/>
    <w:multiLevelType w:val="multilevel"/>
    <w:tmpl w:val="40D21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5B7FBE"/>
    <w:multiLevelType w:val="hybridMultilevel"/>
    <w:tmpl w:val="F776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FC8"/>
    <w:multiLevelType w:val="hybridMultilevel"/>
    <w:tmpl w:val="6D444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808EF"/>
    <w:multiLevelType w:val="hybridMultilevel"/>
    <w:tmpl w:val="DA686B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3A2D3C"/>
    <w:multiLevelType w:val="hybridMultilevel"/>
    <w:tmpl w:val="401490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AB5623"/>
    <w:multiLevelType w:val="hybridMultilevel"/>
    <w:tmpl w:val="A7BA25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4BA2522A"/>
    <w:multiLevelType w:val="hybridMultilevel"/>
    <w:tmpl w:val="101EB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48627F4"/>
    <w:multiLevelType w:val="hybridMultilevel"/>
    <w:tmpl w:val="6A00F2F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A004B26"/>
    <w:multiLevelType w:val="hybridMultilevel"/>
    <w:tmpl w:val="7C2867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0EB49B1"/>
    <w:multiLevelType w:val="hybridMultilevel"/>
    <w:tmpl w:val="9C224A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3F676BD"/>
    <w:multiLevelType w:val="hybridMultilevel"/>
    <w:tmpl w:val="56BCE9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num w:numId="1">
    <w:abstractNumId w:val="1"/>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 w:numId="9">
    <w:abstractNumId w:val="3"/>
  </w:num>
  <w:num w:numId="10">
    <w:abstractNumId w:val="8"/>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38"/>
    <w:rsid w:val="000231FE"/>
    <w:rsid w:val="00034776"/>
    <w:rsid w:val="00084B81"/>
    <w:rsid w:val="000D364C"/>
    <w:rsid w:val="000F38AC"/>
    <w:rsid w:val="001049B4"/>
    <w:rsid w:val="001200DD"/>
    <w:rsid w:val="00121AC7"/>
    <w:rsid w:val="00184895"/>
    <w:rsid w:val="001A3CE1"/>
    <w:rsid w:val="001B2D7C"/>
    <w:rsid w:val="001C603C"/>
    <w:rsid w:val="001D7375"/>
    <w:rsid w:val="001E23D9"/>
    <w:rsid w:val="001F080A"/>
    <w:rsid w:val="001F24B2"/>
    <w:rsid w:val="00200C7A"/>
    <w:rsid w:val="00212BED"/>
    <w:rsid w:val="002203C7"/>
    <w:rsid w:val="00275EF0"/>
    <w:rsid w:val="002A55A7"/>
    <w:rsid w:val="002C3B1D"/>
    <w:rsid w:val="002F346A"/>
    <w:rsid w:val="003119DF"/>
    <w:rsid w:val="003151F3"/>
    <w:rsid w:val="00353BE6"/>
    <w:rsid w:val="00361C5A"/>
    <w:rsid w:val="00373AE6"/>
    <w:rsid w:val="003871A6"/>
    <w:rsid w:val="003C096B"/>
    <w:rsid w:val="004C03E3"/>
    <w:rsid w:val="004C7510"/>
    <w:rsid w:val="004F13C9"/>
    <w:rsid w:val="004F32B9"/>
    <w:rsid w:val="004F47D5"/>
    <w:rsid w:val="005052CD"/>
    <w:rsid w:val="005054F3"/>
    <w:rsid w:val="00507AAB"/>
    <w:rsid w:val="0051473B"/>
    <w:rsid w:val="005235D9"/>
    <w:rsid w:val="0052437B"/>
    <w:rsid w:val="00550AB9"/>
    <w:rsid w:val="00582B80"/>
    <w:rsid w:val="00584217"/>
    <w:rsid w:val="005C0F4B"/>
    <w:rsid w:val="005C1ADC"/>
    <w:rsid w:val="0060514C"/>
    <w:rsid w:val="006126DF"/>
    <w:rsid w:val="00614A5F"/>
    <w:rsid w:val="006223F7"/>
    <w:rsid w:val="006C72DB"/>
    <w:rsid w:val="006E15C4"/>
    <w:rsid w:val="00753638"/>
    <w:rsid w:val="00756A83"/>
    <w:rsid w:val="00765F38"/>
    <w:rsid w:val="0078307F"/>
    <w:rsid w:val="007D59DD"/>
    <w:rsid w:val="007E3268"/>
    <w:rsid w:val="0081216A"/>
    <w:rsid w:val="008233A2"/>
    <w:rsid w:val="008423B2"/>
    <w:rsid w:val="00851CDE"/>
    <w:rsid w:val="008544DA"/>
    <w:rsid w:val="008B70A4"/>
    <w:rsid w:val="008F1870"/>
    <w:rsid w:val="008F51B0"/>
    <w:rsid w:val="0091672D"/>
    <w:rsid w:val="00933477"/>
    <w:rsid w:val="00970FCB"/>
    <w:rsid w:val="00974DD8"/>
    <w:rsid w:val="009915E9"/>
    <w:rsid w:val="009B5306"/>
    <w:rsid w:val="009E65E4"/>
    <w:rsid w:val="00AC02D0"/>
    <w:rsid w:val="00AE2128"/>
    <w:rsid w:val="00AE22FB"/>
    <w:rsid w:val="00AE66CD"/>
    <w:rsid w:val="00B116DA"/>
    <w:rsid w:val="00B27CCF"/>
    <w:rsid w:val="00B52ED5"/>
    <w:rsid w:val="00BC0A90"/>
    <w:rsid w:val="00BC1D04"/>
    <w:rsid w:val="00BC5AD2"/>
    <w:rsid w:val="00BE07C7"/>
    <w:rsid w:val="00BE1023"/>
    <w:rsid w:val="00C0509A"/>
    <w:rsid w:val="00C05F4D"/>
    <w:rsid w:val="00C213CB"/>
    <w:rsid w:val="00C5137F"/>
    <w:rsid w:val="00C64A47"/>
    <w:rsid w:val="00CB3EE7"/>
    <w:rsid w:val="00D04C95"/>
    <w:rsid w:val="00D0797B"/>
    <w:rsid w:val="00D07AD2"/>
    <w:rsid w:val="00D2160E"/>
    <w:rsid w:val="00D40BBA"/>
    <w:rsid w:val="00D42F33"/>
    <w:rsid w:val="00D61038"/>
    <w:rsid w:val="00D6127A"/>
    <w:rsid w:val="00D619FA"/>
    <w:rsid w:val="00D9503C"/>
    <w:rsid w:val="00DB3612"/>
    <w:rsid w:val="00E1082E"/>
    <w:rsid w:val="00E11C1A"/>
    <w:rsid w:val="00E169D8"/>
    <w:rsid w:val="00E233E2"/>
    <w:rsid w:val="00E34BC8"/>
    <w:rsid w:val="00E43EDF"/>
    <w:rsid w:val="00E528A8"/>
    <w:rsid w:val="00E55F8B"/>
    <w:rsid w:val="00E942E3"/>
    <w:rsid w:val="00E954E8"/>
    <w:rsid w:val="00EA50C7"/>
    <w:rsid w:val="00EB4356"/>
    <w:rsid w:val="00EC1A9F"/>
    <w:rsid w:val="00ED33E2"/>
    <w:rsid w:val="00EF6D86"/>
    <w:rsid w:val="00F05411"/>
    <w:rsid w:val="00F2680D"/>
    <w:rsid w:val="00F32864"/>
    <w:rsid w:val="00F43370"/>
    <w:rsid w:val="00F45933"/>
    <w:rsid w:val="00F4696E"/>
    <w:rsid w:val="00F86B7A"/>
    <w:rsid w:val="00F9282B"/>
    <w:rsid w:val="00FB643A"/>
    <w:rsid w:val="00FC66B4"/>
    <w:rsid w:val="00FD3199"/>
    <w:rsid w:val="00FD76B7"/>
    <w:rsid w:val="00FE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A"/>
  </w:style>
  <w:style w:type="paragraph" w:styleId="Heading1">
    <w:name w:val="heading 1"/>
    <w:basedOn w:val="Normal"/>
    <w:next w:val="Normal"/>
    <w:link w:val="Heading1Char"/>
    <w:uiPriority w:val="9"/>
    <w:qFormat/>
    <w:rsid w:val="00200C7A"/>
    <w:pPr>
      <w:spacing w:before="480" w:after="0"/>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00C7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C7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0C7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0C7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0C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0C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0C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0C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71A6"/>
    <w:rPr>
      <w:color w:val="0000FF"/>
      <w:u w:val="single"/>
    </w:rPr>
  </w:style>
  <w:style w:type="paragraph" w:styleId="NoSpacing">
    <w:name w:val="No Spacing"/>
    <w:basedOn w:val="Normal"/>
    <w:uiPriority w:val="1"/>
    <w:qFormat/>
    <w:rsid w:val="00200C7A"/>
    <w:pPr>
      <w:spacing w:after="0" w:line="240" w:lineRule="auto"/>
    </w:pPr>
  </w:style>
  <w:style w:type="paragraph" w:styleId="ListParagraph">
    <w:name w:val="List Paragraph"/>
    <w:basedOn w:val="Normal"/>
    <w:uiPriority w:val="34"/>
    <w:qFormat/>
    <w:rsid w:val="00200C7A"/>
    <w:pPr>
      <w:ind w:left="720"/>
      <w:contextualSpacing/>
    </w:pPr>
  </w:style>
  <w:style w:type="character" w:styleId="FollowedHyperlink">
    <w:name w:val="FollowedHyperlink"/>
    <w:basedOn w:val="DefaultParagraphFont"/>
    <w:uiPriority w:val="99"/>
    <w:semiHidden/>
    <w:unhideWhenUsed/>
    <w:rsid w:val="004F32B9"/>
    <w:rPr>
      <w:color w:val="800080" w:themeColor="followedHyperlink"/>
      <w:u w:val="single"/>
    </w:rPr>
  </w:style>
  <w:style w:type="paragraph" w:styleId="Header">
    <w:name w:val="header"/>
    <w:basedOn w:val="Normal"/>
    <w:link w:val="HeaderChar"/>
    <w:uiPriority w:val="99"/>
    <w:unhideWhenUsed/>
    <w:rsid w:val="00B11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DA"/>
  </w:style>
  <w:style w:type="paragraph" w:styleId="Footer">
    <w:name w:val="footer"/>
    <w:basedOn w:val="Normal"/>
    <w:link w:val="FooterChar"/>
    <w:uiPriority w:val="99"/>
    <w:unhideWhenUsed/>
    <w:rsid w:val="00B11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DA"/>
  </w:style>
  <w:style w:type="paragraph" w:styleId="BalloonText">
    <w:name w:val="Balloon Text"/>
    <w:basedOn w:val="Normal"/>
    <w:link w:val="BalloonTextChar"/>
    <w:uiPriority w:val="99"/>
    <w:semiHidden/>
    <w:unhideWhenUsed/>
    <w:rsid w:val="00B1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DA"/>
    <w:rPr>
      <w:rFonts w:ascii="Tahoma" w:hAnsi="Tahoma" w:cs="Tahoma"/>
      <w:sz w:val="16"/>
      <w:szCs w:val="16"/>
    </w:rPr>
  </w:style>
  <w:style w:type="character" w:customStyle="1" w:styleId="Heading1Char">
    <w:name w:val="Heading 1 Char"/>
    <w:basedOn w:val="DefaultParagraphFont"/>
    <w:link w:val="Heading1"/>
    <w:uiPriority w:val="9"/>
    <w:rsid w:val="00200C7A"/>
    <w:rPr>
      <w:rFonts w:ascii="Arial" w:eastAsiaTheme="majorEastAsia" w:hAnsi="Arial" w:cstheme="majorBidi"/>
      <w:b/>
      <w:bCs/>
      <w:sz w:val="32"/>
      <w:szCs w:val="28"/>
    </w:rPr>
  </w:style>
  <w:style w:type="paragraph" w:styleId="Title">
    <w:name w:val="Title"/>
    <w:basedOn w:val="Normal"/>
    <w:next w:val="Normal"/>
    <w:link w:val="TitleChar"/>
    <w:uiPriority w:val="10"/>
    <w:qFormat/>
    <w:rsid w:val="00200C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0C7A"/>
    <w:rPr>
      <w:rFonts w:asciiTheme="majorHAnsi" w:eastAsiaTheme="majorEastAsia" w:hAnsiTheme="majorHAnsi" w:cstheme="majorBidi"/>
      <w:spacing w:val="5"/>
      <w:sz w:val="52"/>
      <w:szCs w:val="52"/>
    </w:rPr>
  </w:style>
  <w:style w:type="character" w:styleId="Strong">
    <w:name w:val="Strong"/>
    <w:uiPriority w:val="22"/>
    <w:qFormat/>
    <w:rsid w:val="0060514C"/>
    <w:rPr>
      <w:rFonts w:ascii="Arial" w:hAnsi="Arial"/>
      <w:b/>
      <w:bCs/>
      <w:i w:val="0"/>
      <w:sz w:val="24"/>
    </w:rPr>
  </w:style>
  <w:style w:type="character" w:customStyle="1" w:styleId="Heading2Char">
    <w:name w:val="Heading 2 Char"/>
    <w:basedOn w:val="DefaultParagraphFont"/>
    <w:link w:val="Heading2"/>
    <w:uiPriority w:val="9"/>
    <w:rsid w:val="00200C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0C7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0C7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0C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0C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0C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0C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0C7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00C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0C7A"/>
    <w:rPr>
      <w:rFonts w:asciiTheme="majorHAnsi" w:eastAsiaTheme="majorEastAsia" w:hAnsiTheme="majorHAnsi" w:cstheme="majorBidi"/>
      <w:i/>
      <w:iCs/>
      <w:spacing w:val="13"/>
      <w:sz w:val="24"/>
      <w:szCs w:val="24"/>
    </w:rPr>
  </w:style>
  <w:style w:type="character" w:styleId="Emphasis">
    <w:name w:val="Emphasis"/>
    <w:uiPriority w:val="20"/>
    <w:qFormat/>
    <w:rsid w:val="00C0509A"/>
    <w:rPr>
      <w:rFonts w:ascii="Arial" w:hAnsi="Arial"/>
      <w:b/>
      <w:bCs/>
      <w:i w:val="0"/>
      <w:iCs/>
      <w:spacing w:val="10"/>
      <w:sz w:val="24"/>
      <w:bdr w:val="none" w:sz="0" w:space="0" w:color="auto"/>
      <w:shd w:val="clear" w:color="auto" w:fill="auto"/>
    </w:rPr>
  </w:style>
  <w:style w:type="paragraph" w:styleId="Quote">
    <w:name w:val="Quote"/>
    <w:basedOn w:val="Normal"/>
    <w:next w:val="Normal"/>
    <w:link w:val="QuoteChar"/>
    <w:uiPriority w:val="29"/>
    <w:qFormat/>
    <w:rsid w:val="00200C7A"/>
    <w:pPr>
      <w:spacing w:before="200" w:after="0"/>
      <w:ind w:left="360" w:right="360"/>
    </w:pPr>
    <w:rPr>
      <w:i/>
      <w:iCs/>
    </w:rPr>
  </w:style>
  <w:style w:type="character" w:customStyle="1" w:styleId="QuoteChar">
    <w:name w:val="Quote Char"/>
    <w:basedOn w:val="DefaultParagraphFont"/>
    <w:link w:val="Quote"/>
    <w:uiPriority w:val="29"/>
    <w:rsid w:val="00200C7A"/>
    <w:rPr>
      <w:i/>
      <w:iCs/>
    </w:rPr>
  </w:style>
  <w:style w:type="paragraph" w:styleId="IntenseQuote">
    <w:name w:val="Intense Quote"/>
    <w:basedOn w:val="Normal"/>
    <w:next w:val="Normal"/>
    <w:link w:val="IntenseQuoteChar"/>
    <w:uiPriority w:val="30"/>
    <w:qFormat/>
    <w:rsid w:val="00200C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0C7A"/>
    <w:rPr>
      <w:b/>
      <w:bCs/>
      <w:i/>
      <w:iCs/>
    </w:rPr>
  </w:style>
  <w:style w:type="character" w:styleId="SubtleEmphasis">
    <w:name w:val="Subtle Emphasis"/>
    <w:uiPriority w:val="19"/>
    <w:qFormat/>
    <w:rsid w:val="00200C7A"/>
    <w:rPr>
      <w:i/>
      <w:iCs/>
    </w:rPr>
  </w:style>
  <w:style w:type="character" w:styleId="IntenseEmphasis">
    <w:name w:val="Intense Emphasis"/>
    <w:uiPriority w:val="21"/>
    <w:qFormat/>
    <w:rsid w:val="005054F3"/>
    <w:rPr>
      <w:rFonts w:ascii="Arial" w:hAnsi="Arial"/>
      <w:b/>
      <w:bCs/>
      <w:sz w:val="24"/>
    </w:rPr>
  </w:style>
  <w:style w:type="character" w:styleId="SubtleReference">
    <w:name w:val="Subtle Reference"/>
    <w:uiPriority w:val="31"/>
    <w:qFormat/>
    <w:rsid w:val="00200C7A"/>
    <w:rPr>
      <w:smallCaps/>
    </w:rPr>
  </w:style>
  <w:style w:type="character" w:styleId="IntenseReference">
    <w:name w:val="Intense Reference"/>
    <w:uiPriority w:val="32"/>
    <w:qFormat/>
    <w:rsid w:val="00200C7A"/>
    <w:rPr>
      <w:smallCaps/>
      <w:spacing w:val="5"/>
      <w:u w:val="single"/>
    </w:rPr>
  </w:style>
  <w:style w:type="character" w:styleId="BookTitle">
    <w:name w:val="Book Title"/>
    <w:uiPriority w:val="33"/>
    <w:qFormat/>
    <w:rsid w:val="00200C7A"/>
    <w:rPr>
      <w:i/>
      <w:iCs/>
      <w:smallCaps/>
      <w:spacing w:val="5"/>
    </w:rPr>
  </w:style>
  <w:style w:type="paragraph" w:styleId="TOCHeading">
    <w:name w:val="TOC Heading"/>
    <w:basedOn w:val="Heading1"/>
    <w:next w:val="Normal"/>
    <w:uiPriority w:val="39"/>
    <w:semiHidden/>
    <w:unhideWhenUsed/>
    <w:qFormat/>
    <w:rsid w:val="00200C7A"/>
    <w:pPr>
      <w:outlineLvl w:val="9"/>
    </w:pPr>
    <w:rPr>
      <w:lang w:bidi="en-US"/>
    </w:rPr>
  </w:style>
  <w:style w:type="paragraph" w:styleId="NormalWeb">
    <w:name w:val="Normal (Web)"/>
    <w:basedOn w:val="Normal"/>
    <w:uiPriority w:val="99"/>
    <w:semiHidden/>
    <w:unhideWhenUsed/>
    <w:rsid w:val="00D61038"/>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D610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A"/>
  </w:style>
  <w:style w:type="paragraph" w:styleId="Heading1">
    <w:name w:val="heading 1"/>
    <w:basedOn w:val="Normal"/>
    <w:next w:val="Normal"/>
    <w:link w:val="Heading1Char"/>
    <w:uiPriority w:val="9"/>
    <w:qFormat/>
    <w:rsid w:val="00200C7A"/>
    <w:pPr>
      <w:spacing w:before="480" w:after="0"/>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00C7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C7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0C7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0C7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0C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0C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0C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0C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71A6"/>
    <w:rPr>
      <w:color w:val="0000FF"/>
      <w:u w:val="single"/>
    </w:rPr>
  </w:style>
  <w:style w:type="paragraph" w:styleId="NoSpacing">
    <w:name w:val="No Spacing"/>
    <w:basedOn w:val="Normal"/>
    <w:uiPriority w:val="1"/>
    <w:qFormat/>
    <w:rsid w:val="00200C7A"/>
    <w:pPr>
      <w:spacing w:after="0" w:line="240" w:lineRule="auto"/>
    </w:pPr>
  </w:style>
  <w:style w:type="paragraph" w:styleId="ListParagraph">
    <w:name w:val="List Paragraph"/>
    <w:basedOn w:val="Normal"/>
    <w:uiPriority w:val="34"/>
    <w:qFormat/>
    <w:rsid w:val="00200C7A"/>
    <w:pPr>
      <w:ind w:left="720"/>
      <w:contextualSpacing/>
    </w:pPr>
  </w:style>
  <w:style w:type="character" w:styleId="FollowedHyperlink">
    <w:name w:val="FollowedHyperlink"/>
    <w:basedOn w:val="DefaultParagraphFont"/>
    <w:uiPriority w:val="99"/>
    <w:semiHidden/>
    <w:unhideWhenUsed/>
    <w:rsid w:val="004F32B9"/>
    <w:rPr>
      <w:color w:val="800080" w:themeColor="followedHyperlink"/>
      <w:u w:val="single"/>
    </w:rPr>
  </w:style>
  <w:style w:type="paragraph" w:styleId="Header">
    <w:name w:val="header"/>
    <w:basedOn w:val="Normal"/>
    <w:link w:val="HeaderChar"/>
    <w:uiPriority w:val="99"/>
    <w:unhideWhenUsed/>
    <w:rsid w:val="00B11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DA"/>
  </w:style>
  <w:style w:type="paragraph" w:styleId="Footer">
    <w:name w:val="footer"/>
    <w:basedOn w:val="Normal"/>
    <w:link w:val="FooterChar"/>
    <w:uiPriority w:val="99"/>
    <w:unhideWhenUsed/>
    <w:rsid w:val="00B11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DA"/>
  </w:style>
  <w:style w:type="paragraph" w:styleId="BalloonText">
    <w:name w:val="Balloon Text"/>
    <w:basedOn w:val="Normal"/>
    <w:link w:val="BalloonTextChar"/>
    <w:uiPriority w:val="99"/>
    <w:semiHidden/>
    <w:unhideWhenUsed/>
    <w:rsid w:val="00B1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DA"/>
    <w:rPr>
      <w:rFonts w:ascii="Tahoma" w:hAnsi="Tahoma" w:cs="Tahoma"/>
      <w:sz w:val="16"/>
      <w:szCs w:val="16"/>
    </w:rPr>
  </w:style>
  <w:style w:type="character" w:customStyle="1" w:styleId="Heading1Char">
    <w:name w:val="Heading 1 Char"/>
    <w:basedOn w:val="DefaultParagraphFont"/>
    <w:link w:val="Heading1"/>
    <w:uiPriority w:val="9"/>
    <w:rsid w:val="00200C7A"/>
    <w:rPr>
      <w:rFonts w:ascii="Arial" w:eastAsiaTheme="majorEastAsia" w:hAnsi="Arial" w:cstheme="majorBidi"/>
      <w:b/>
      <w:bCs/>
      <w:sz w:val="32"/>
      <w:szCs w:val="28"/>
    </w:rPr>
  </w:style>
  <w:style w:type="paragraph" w:styleId="Title">
    <w:name w:val="Title"/>
    <w:basedOn w:val="Normal"/>
    <w:next w:val="Normal"/>
    <w:link w:val="TitleChar"/>
    <w:uiPriority w:val="10"/>
    <w:qFormat/>
    <w:rsid w:val="00200C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0C7A"/>
    <w:rPr>
      <w:rFonts w:asciiTheme="majorHAnsi" w:eastAsiaTheme="majorEastAsia" w:hAnsiTheme="majorHAnsi" w:cstheme="majorBidi"/>
      <w:spacing w:val="5"/>
      <w:sz w:val="52"/>
      <w:szCs w:val="52"/>
    </w:rPr>
  </w:style>
  <w:style w:type="character" w:styleId="Strong">
    <w:name w:val="Strong"/>
    <w:uiPriority w:val="22"/>
    <w:qFormat/>
    <w:rsid w:val="0060514C"/>
    <w:rPr>
      <w:rFonts w:ascii="Arial" w:hAnsi="Arial"/>
      <w:b/>
      <w:bCs/>
      <w:i w:val="0"/>
      <w:sz w:val="24"/>
    </w:rPr>
  </w:style>
  <w:style w:type="character" w:customStyle="1" w:styleId="Heading2Char">
    <w:name w:val="Heading 2 Char"/>
    <w:basedOn w:val="DefaultParagraphFont"/>
    <w:link w:val="Heading2"/>
    <w:uiPriority w:val="9"/>
    <w:rsid w:val="00200C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0C7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0C7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0C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0C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0C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0C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0C7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00C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0C7A"/>
    <w:rPr>
      <w:rFonts w:asciiTheme="majorHAnsi" w:eastAsiaTheme="majorEastAsia" w:hAnsiTheme="majorHAnsi" w:cstheme="majorBidi"/>
      <w:i/>
      <w:iCs/>
      <w:spacing w:val="13"/>
      <w:sz w:val="24"/>
      <w:szCs w:val="24"/>
    </w:rPr>
  </w:style>
  <w:style w:type="character" w:styleId="Emphasis">
    <w:name w:val="Emphasis"/>
    <w:uiPriority w:val="20"/>
    <w:qFormat/>
    <w:rsid w:val="00C0509A"/>
    <w:rPr>
      <w:rFonts w:ascii="Arial" w:hAnsi="Arial"/>
      <w:b/>
      <w:bCs/>
      <w:i w:val="0"/>
      <w:iCs/>
      <w:spacing w:val="10"/>
      <w:sz w:val="24"/>
      <w:bdr w:val="none" w:sz="0" w:space="0" w:color="auto"/>
      <w:shd w:val="clear" w:color="auto" w:fill="auto"/>
    </w:rPr>
  </w:style>
  <w:style w:type="paragraph" w:styleId="Quote">
    <w:name w:val="Quote"/>
    <w:basedOn w:val="Normal"/>
    <w:next w:val="Normal"/>
    <w:link w:val="QuoteChar"/>
    <w:uiPriority w:val="29"/>
    <w:qFormat/>
    <w:rsid w:val="00200C7A"/>
    <w:pPr>
      <w:spacing w:before="200" w:after="0"/>
      <w:ind w:left="360" w:right="360"/>
    </w:pPr>
    <w:rPr>
      <w:i/>
      <w:iCs/>
    </w:rPr>
  </w:style>
  <w:style w:type="character" w:customStyle="1" w:styleId="QuoteChar">
    <w:name w:val="Quote Char"/>
    <w:basedOn w:val="DefaultParagraphFont"/>
    <w:link w:val="Quote"/>
    <w:uiPriority w:val="29"/>
    <w:rsid w:val="00200C7A"/>
    <w:rPr>
      <w:i/>
      <w:iCs/>
    </w:rPr>
  </w:style>
  <w:style w:type="paragraph" w:styleId="IntenseQuote">
    <w:name w:val="Intense Quote"/>
    <w:basedOn w:val="Normal"/>
    <w:next w:val="Normal"/>
    <w:link w:val="IntenseQuoteChar"/>
    <w:uiPriority w:val="30"/>
    <w:qFormat/>
    <w:rsid w:val="00200C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0C7A"/>
    <w:rPr>
      <w:b/>
      <w:bCs/>
      <w:i/>
      <w:iCs/>
    </w:rPr>
  </w:style>
  <w:style w:type="character" w:styleId="SubtleEmphasis">
    <w:name w:val="Subtle Emphasis"/>
    <w:uiPriority w:val="19"/>
    <w:qFormat/>
    <w:rsid w:val="00200C7A"/>
    <w:rPr>
      <w:i/>
      <w:iCs/>
    </w:rPr>
  </w:style>
  <w:style w:type="character" w:styleId="IntenseEmphasis">
    <w:name w:val="Intense Emphasis"/>
    <w:uiPriority w:val="21"/>
    <w:qFormat/>
    <w:rsid w:val="005054F3"/>
    <w:rPr>
      <w:rFonts w:ascii="Arial" w:hAnsi="Arial"/>
      <w:b/>
      <w:bCs/>
      <w:sz w:val="24"/>
    </w:rPr>
  </w:style>
  <w:style w:type="character" w:styleId="SubtleReference">
    <w:name w:val="Subtle Reference"/>
    <w:uiPriority w:val="31"/>
    <w:qFormat/>
    <w:rsid w:val="00200C7A"/>
    <w:rPr>
      <w:smallCaps/>
    </w:rPr>
  </w:style>
  <w:style w:type="character" w:styleId="IntenseReference">
    <w:name w:val="Intense Reference"/>
    <w:uiPriority w:val="32"/>
    <w:qFormat/>
    <w:rsid w:val="00200C7A"/>
    <w:rPr>
      <w:smallCaps/>
      <w:spacing w:val="5"/>
      <w:u w:val="single"/>
    </w:rPr>
  </w:style>
  <w:style w:type="character" w:styleId="BookTitle">
    <w:name w:val="Book Title"/>
    <w:uiPriority w:val="33"/>
    <w:qFormat/>
    <w:rsid w:val="00200C7A"/>
    <w:rPr>
      <w:i/>
      <w:iCs/>
      <w:smallCaps/>
      <w:spacing w:val="5"/>
    </w:rPr>
  </w:style>
  <w:style w:type="paragraph" w:styleId="TOCHeading">
    <w:name w:val="TOC Heading"/>
    <w:basedOn w:val="Heading1"/>
    <w:next w:val="Normal"/>
    <w:uiPriority w:val="39"/>
    <w:semiHidden/>
    <w:unhideWhenUsed/>
    <w:qFormat/>
    <w:rsid w:val="00200C7A"/>
    <w:pPr>
      <w:outlineLvl w:val="9"/>
    </w:pPr>
    <w:rPr>
      <w:lang w:bidi="en-US"/>
    </w:rPr>
  </w:style>
  <w:style w:type="paragraph" w:styleId="NormalWeb">
    <w:name w:val="Normal (Web)"/>
    <w:basedOn w:val="Normal"/>
    <w:uiPriority w:val="99"/>
    <w:semiHidden/>
    <w:unhideWhenUsed/>
    <w:rsid w:val="00D61038"/>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D610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931">
      <w:bodyDiv w:val="1"/>
      <w:marLeft w:val="0"/>
      <w:marRight w:val="0"/>
      <w:marTop w:val="0"/>
      <w:marBottom w:val="0"/>
      <w:divBdr>
        <w:top w:val="none" w:sz="0" w:space="0" w:color="auto"/>
        <w:left w:val="none" w:sz="0" w:space="0" w:color="auto"/>
        <w:bottom w:val="none" w:sz="0" w:space="0" w:color="auto"/>
        <w:right w:val="none" w:sz="0" w:space="0" w:color="auto"/>
      </w:divBdr>
    </w:div>
    <w:div w:id="211045201">
      <w:bodyDiv w:val="1"/>
      <w:marLeft w:val="0"/>
      <w:marRight w:val="0"/>
      <w:marTop w:val="0"/>
      <w:marBottom w:val="0"/>
      <w:divBdr>
        <w:top w:val="none" w:sz="0" w:space="0" w:color="auto"/>
        <w:left w:val="none" w:sz="0" w:space="0" w:color="auto"/>
        <w:bottom w:val="none" w:sz="0" w:space="0" w:color="auto"/>
        <w:right w:val="none" w:sz="0" w:space="0" w:color="auto"/>
      </w:divBdr>
    </w:div>
    <w:div w:id="598834633">
      <w:bodyDiv w:val="1"/>
      <w:marLeft w:val="0"/>
      <w:marRight w:val="0"/>
      <w:marTop w:val="0"/>
      <w:marBottom w:val="0"/>
      <w:divBdr>
        <w:top w:val="none" w:sz="0" w:space="0" w:color="auto"/>
        <w:left w:val="none" w:sz="0" w:space="0" w:color="auto"/>
        <w:bottom w:val="none" w:sz="0" w:space="0" w:color="auto"/>
        <w:right w:val="none" w:sz="0" w:space="0" w:color="auto"/>
      </w:divBdr>
    </w:div>
    <w:div w:id="755592699">
      <w:bodyDiv w:val="1"/>
      <w:marLeft w:val="0"/>
      <w:marRight w:val="0"/>
      <w:marTop w:val="0"/>
      <w:marBottom w:val="0"/>
      <w:divBdr>
        <w:top w:val="none" w:sz="0" w:space="0" w:color="auto"/>
        <w:left w:val="none" w:sz="0" w:space="0" w:color="auto"/>
        <w:bottom w:val="none" w:sz="0" w:space="0" w:color="auto"/>
        <w:right w:val="none" w:sz="0" w:space="0" w:color="auto"/>
      </w:divBdr>
    </w:div>
    <w:div w:id="1104544524">
      <w:bodyDiv w:val="1"/>
      <w:marLeft w:val="0"/>
      <w:marRight w:val="0"/>
      <w:marTop w:val="0"/>
      <w:marBottom w:val="0"/>
      <w:divBdr>
        <w:top w:val="none" w:sz="0" w:space="0" w:color="auto"/>
        <w:left w:val="none" w:sz="0" w:space="0" w:color="auto"/>
        <w:bottom w:val="none" w:sz="0" w:space="0" w:color="auto"/>
        <w:right w:val="none" w:sz="0" w:space="0" w:color="auto"/>
      </w:divBdr>
    </w:div>
    <w:div w:id="1594899012">
      <w:bodyDiv w:val="1"/>
      <w:marLeft w:val="0"/>
      <w:marRight w:val="0"/>
      <w:marTop w:val="0"/>
      <w:marBottom w:val="0"/>
      <w:divBdr>
        <w:top w:val="none" w:sz="0" w:space="0" w:color="auto"/>
        <w:left w:val="none" w:sz="0" w:space="0" w:color="auto"/>
        <w:bottom w:val="none" w:sz="0" w:space="0" w:color="auto"/>
        <w:right w:val="none" w:sz="0" w:space="0" w:color="auto"/>
      </w:divBdr>
    </w:div>
    <w:div w:id="16160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itaac.nih.gov/nitaac/node/5423" TargetMode="External"/><Relationship Id="rId18" Type="http://schemas.openxmlformats.org/officeDocument/2006/relationships/hyperlink" Target="http://trainingcenter.nih.gov/list.aspx?catId=1" TargetMode="External"/><Relationship Id="rId26" Type="http://schemas.openxmlformats.org/officeDocument/2006/relationships/hyperlink" Target="http://trainingcenter.nih.gov/show_details.aspx?cId=NIHTC9516" TargetMode="External"/><Relationship Id="rId39" Type="http://schemas.openxmlformats.org/officeDocument/2006/relationships/hyperlink" Target="mailto:BPAProgramBranch@od.nih.gov" TargetMode="External"/><Relationship Id="rId3" Type="http://schemas.openxmlformats.org/officeDocument/2006/relationships/customXml" Target="../customXml/item3.xml"/><Relationship Id="rId21" Type="http://schemas.openxmlformats.org/officeDocument/2006/relationships/hyperlink" Target="http://icatalog.dau.mil/onlinecatalog/courses.aspx?crs_id=32" TargetMode="External"/><Relationship Id="rId34" Type="http://schemas.openxmlformats.org/officeDocument/2006/relationships/hyperlink" Target="http://training.cit.nih.gov/class_details.aspx?cId=NIHCIT-AT120" TargetMode="External"/><Relationship Id="rId42" Type="http://schemas.openxmlformats.org/officeDocument/2006/relationships/hyperlink" Target="mailto:NicholaM@od.nih.gov" TargetMode="External"/><Relationship Id="rId47"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cheryl.howe@hhs.gov" TargetMode="External"/><Relationship Id="rId17" Type="http://schemas.openxmlformats.org/officeDocument/2006/relationships/hyperlink" Target="http://www.epa.gov/epp/" TargetMode="External"/><Relationship Id="rId25" Type="http://schemas.openxmlformats.org/officeDocument/2006/relationships/hyperlink" Target="http://hhsu.learning.hhs.gov/learning/faq.asp" TargetMode="External"/><Relationship Id="rId33" Type="http://schemas.openxmlformats.org/officeDocument/2006/relationships/hyperlink" Target="http://training.cit.nih.gov/class_details.aspx?cId=NIHCIT-AT100" TargetMode="External"/><Relationship Id="rId38" Type="http://schemas.openxmlformats.org/officeDocument/2006/relationships/hyperlink" Target="http://oamp.od.nih.gov/Division/SAPS/Acq/PCard/BPAProgram.asp"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ederalPurchasingSurvey@epa.gov" TargetMode="External"/><Relationship Id="rId20" Type="http://schemas.openxmlformats.org/officeDocument/2006/relationships/hyperlink" Target="http://trainingcenter.nih.gov/show_details.aspx?cId=NIHTC9568" TargetMode="External"/><Relationship Id="rId29" Type="http://schemas.openxmlformats.org/officeDocument/2006/relationships/hyperlink" Target="http://trainingcenter.nih.gov/show_details.aspx?cId=NIHTC9512" TargetMode="External"/><Relationship Id="rId41" Type="http://schemas.openxmlformats.org/officeDocument/2006/relationships/hyperlink" Target="mailto:MireA@od.nih.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rainingcenter.nih.gov/show_details.aspx?cId=NIHTC5521" TargetMode="External"/><Relationship Id="rId32" Type="http://schemas.openxmlformats.org/officeDocument/2006/relationships/hyperlink" Target="http://trainingcenter.nih.gov/show_details.aspx?cId=NIHTC9513" TargetMode="External"/><Relationship Id="rId37" Type="http://schemas.openxmlformats.org/officeDocument/2006/relationships/hyperlink" Target="http://training.cit.nih.gov/class_details.aspx?cId=NIHCIT-AT171" TargetMode="External"/><Relationship Id="rId40" Type="http://schemas.openxmlformats.org/officeDocument/2006/relationships/hyperlink" Target="mailto:McDermottMl@od.nih.gov" TargetMode="External"/><Relationship Id="rId45" Type="http://schemas.openxmlformats.org/officeDocument/2006/relationships/hyperlink" Target="mailto:SimplifiedAcquisitionHelp@od.nih.gov" TargetMode="External"/><Relationship Id="rId5" Type="http://schemas.openxmlformats.org/officeDocument/2006/relationships/numbering" Target="numbering.xml"/><Relationship Id="rId15" Type="http://schemas.openxmlformats.org/officeDocument/2006/relationships/hyperlink" Target="http://www.fai.gov/survey/2013_epa_epp_survey/" TargetMode="External"/><Relationship Id="rId23" Type="http://schemas.openxmlformats.org/officeDocument/2006/relationships/hyperlink" Target="http://trainingcenter.nih.gov/show_details.aspx?cId=NIHTC9530" TargetMode="External"/><Relationship Id="rId28" Type="http://schemas.openxmlformats.org/officeDocument/2006/relationships/hyperlink" Target="http://trainingcenter.nih.gov/show_details.aspx?cId=NIHTC5512" TargetMode="External"/><Relationship Id="rId36" Type="http://schemas.openxmlformats.org/officeDocument/2006/relationships/hyperlink" Target="http://training.cit.nih.gov/class_details.aspx?cId=NIHCIT-AT170"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trainingcenter.nih.gov/show_details.aspx?cId=NIHTC9566" TargetMode="External"/><Relationship Id="rId31" Type="http://schemas.openxmlformats.org/officeDocument/2006/relationships/hyperlink" Target="http://trainingcenter.nih.gov/show_details.aspx?cId=NIHTC2635" TargetMode="External"/><Relationship Id="rId44" Type="http://schemas.openxmlformats.org/officeDocument/2006/relationships/hyperlink" Target="mailto:SolomonBJ@od.ni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TAACsupport@nih.gov" TargetMode="External"/><Relationship Id="rId22" Type="http://schemas.openxmlformats.org/officeDocument/2006/relationships/hyperlink" Target="http://trainingcenter.nih.gov/show_details.aspx?cId=NIHTC9532" TargetMode="External"/><Relationship Id="rId27" Type="http://schemas.openxmlformats.org/officeDocument/2006/relationships/hyperlink" Target="http://trainingcenter.nih.gov/show_details.aspx?cId=NIHTC2617" TargetMode="External"/><Relationship Id="rId30" Type="http://schemas.openxmlformats.org/officeDocument/2006/relationships/hyperlink" Target="http://trainingcenter.nih.gov/show_details.aspx?cId=NIHTC5513" TargetMode="External"/><Relationship Id="rId35" Type="http://schemas.openxmlformats.org/officeDocument/2006/relationships/hyperlink" Target="http://training.cit.nih.gov/class_details.aspx?cId=NIHCIT-AT180" TargetMode="External"/><Relationship Id="rId43" Type="http://schemas.openxmlformats.org/officeDocument/2006/relationships/hyperlink" Target="mailto:RomanesA@od.nih.gov"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230424321D4FA72EEDA22F804B7C" ma:contentTypeVersion="0" ma:contentTypeDescription="Create a new document." ma:contentTypeScope="" ma:versionID="a97e47ccce4a2fdf52da2e7d057db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FFA05-51C1-4C4F-9617-B878E1BD8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52CDBE-BD30-43AC-A883-E1F4111C44BA}">
  <ds:schemaRefs>
    <ds:schemaRef ds:uri="http://schemas.microsoft.com/sharepoint/v3/contenttype/forms"/>
  </ds:schemaRefs>
</ds:datastoreItem>
</file>

<file path=customXml/itemProps3.xml><?xml version="1.0" encoding="utf-8"?>
<ds:datastoreItem xmlns:ds="http://schemas.openxmlformats.org/officeDocument/2006/customXml" ds:itemID="{AC5847F5-89EA-4A06-AEA8-F561733D3634}">
  <ds:schemaRef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8C464FD-B1A3-42CA-BE4A-03F4D2D4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OALM Newsletter November/December 2012</vt:lpstr>
    </vt:vector>
  </TitlesOfParts>
  <Company>NIH</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Newsletter November/December 2012</dc:title>
  <dc:subject>OALM Newsletter November/December 2012</dc:subject>
  <dc:creator>NIH/OD/OALM/OAMP/DSAPS</dc:creator>
  <cp:keywords>OALM Newsletter November/December 2012</cp:keywords>
  <dc:description>508 Compliant 2/6/12</dc:description>
  <cp:lastModifiedBy>kaminsks</cp:lastModifiedBy>
  <cp:revision>2</cp:revision>
  <cp:lastPrinted>2013-02-05T13:47:00Z</cp:lastPrinted>
  <dcterms:created xsi:type="dcterms:W3CDTF">2013-02-06T14:16:00Z</dcterms:created>
  <dcterms:modified xsi:type="dcterms:W3CDTF">2013-02-06T14:16:00Z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0x010100F6F0230424321D4FA72EEDA22F804B7C</vt:lpwstr>
  </property>
</Properties>
</file>